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DB6D" w14:textId="77777777" w:rsidR="0070661C" w:rsidRPr="00321987" w:rsidRDefault="00C1031A" w:rsidP="00321987">
      <w:pPr>
        <w:pStyle w:val="TitleHeader"/>
        <w:spacing w:before="0" w:after="0"/>
        <w:ind w:left="0"/>
        <w:jc w:val="left"/>
        <w:rPr>
          <w:rFonts w:ascii="Gill Sans MT" w:hAnsi="Gill Sans MT"/>
        </w:rPr>
      </w:pPr>
      <w:r w:rsidRPr="00321987">
        <w:rPr>
          <w:rFonts w:ascii="Gill Sans MT" w:hAnsi="Gill Sans MT"/>
        </w:rPr>
        <w:t>REQUEST FOR APPLICATIONS (RFA)</w:t>
      </w:r>
    </w:p>
    <w:p w14:paraId="0FC43FB5" w14:textId="5180D27D" w:rsidR="00C1031A" w:rsidRPr="00321987" w:rsidRDefault="0070661C" w:rsidP="00321987">
      <w:pPr>
        <w:pStyle w:val="TitleHeader"/>
        <w:spacing w:before="0" w:after="0"/>
        <w:ind w:left="0"/>
        <w:jc w:val="left"/>
        <w:rPr>
          <w:rFonts w:ascii="Gill Sans MT" w:hAnsi="Gill Sans MT"/>
        </w:rPr>
      </w:pPr>
      <w:r w:rsidRPr="00321987">
        <w:rPr>
          <w:rFonts w:ascii="Gill Sans MT" w:hAnsi="Gill Sans MT"/>
        </w:rPr>
        <w:t>OPPORTUNITY FUND</w:t>
      </w:r>
    </w:p>
    <w:p w14:paraId="39D8CB8A" w14:textId="5C22BA2F" w:rsidR="00321987" w:rsidRDefault="00321987" w:rsidP="00321987">
      <w:pPr>
        <w:pStyle w:val="Heading1"/>
        <w:numPr>
          <w:ilvl w:val="0"/>
          <w:numId w:val="0"/>
        </w:numPr>
        <w:spacing w:before="0" w:line="276" w:lineRule="auto"/>
        <w:ind w:left="432"/>
        <w:rPr>
          <w:rFonts w:ascii="Gill Sans MT" w:hAnsi="Gill Sans MT"/>
          <w:sz w:val="22"/>
          <w:szCs w:val="22"/>
        </w:rPr>
      </w:pPr>
      <w:bookmarkStart w:id="0" w:name="_Toc504045220"/>
      <w:bookmarkStart w:id="1" w:name="_Toc504052206"/>
      <w:bookmarkStart w:id="2" w:name="_Toc504053350"/>
      <w:bookmarkStart w:id="3" w:name="_Toc504747967"/>
    </w:p>
    <w:p w14:paraId="73629B3F" w14:textId="77777777" w:rsidR="00D405E7" w:rsidRPr="00D405E7" w:rsidRDefault="00D405E7" w:rsidP="00D405E7">
      <w:pPr>
        <w:autoSpaceDE w:val="0"/>
        <w:autoSpaceDN w:val="0"/>
        <w:adjustRightInd w:val="0"/>
        <w:spacing w:after="0"/>
        <w:jc w:val="left"/>
        <w:rPr>
          <w:rFonts w:ascii="Times New Roman" w:eastAsia="Arial" w:hAnsi="Times New Roman" w:cs="Times New Roman"/>
          <w:sz w:val="24"/>
          <w:szCs w:val="24"/>
          <w:lang w:eastAsia="en-GB"/>
        </w:rPr>
      </w:pPr>
    </w:p>
    <w:p w14:paraId="28EAAB7C" w14:textId="53E3CCC7" w:rsidR="00D405E7" w:rsidRPr="00A1206B" w:rsidRDefault="00D405E7" w:rsidP="00D405E7">
      <w:pPr>
        <w:autoSpaceDE w:val="0"/>
        <w:autoSpaceDN w:val="0"/>
        <w:adjustRightInd w:val="0"/>
        <w:spacing w:after="0"/>
        <w:jc w:val="left"/>
        <w:rPr>
          <w:rFonts w:eastAsia="Arial" w:cs="Times New Roman"/>
          <w:lang w:eastAsia="en-GB"/>
        </w:rPr>
      </w:pPr>
      <w:r w:rsidRPr="00A1206B">
        <w:rPr>
          <w:rFonts w:eastAsia="Arial" w:cs="Times New Roman"/>
          <w:b/>
          <w:bCs/>
          <w:lang w:eastAsia="en-GB"/>
        </w:rPr>
        <w:t>Issuance Date: September 1</w:t>
      </w:r>
      <w:r w:rsidRPr="00A1206B">
        <w:rPr>
          <w:rFonts w:eastAsia="Arial" w:cs="Times New Roman"/>
          <w:b/>
          <w:bCs/>
          <w:vertAlign w:val="superscript"/>
          <w:lang w:eastAsia="en-GB"/>
        </w:rPr>
        <w:t>st</w:t>
      </w:r>
      <w:r w:rsidRPr="00A1206B">
        <w:rPr>
          <w:rFonts w:eastAsia="Arial" w:cs="Times New Roman"/>
          <w:lang w:eastAsia="en-GB"/>
        </w:rPr>
        <w:t>, 2019</w:t>
      </w:r>
    </w:p>
    <w:p w14:paraId="147B9A01" w14:textId="42891B9B" w:rsidR="00D405E7" w:rsidRDefault="00D405E7" w:rsidP="00D405E7">
      <w:pPr>
        <w:autoSpaceDE w:val="0"/>
        <w:autoSpaceDN w:val="0"/>
        <w:adjustRightInd w:val="0"/>
        <w:spacing w:after="0"/>
        <w:jc w:val="left"/>
        <w:rPr>
          <w:rFonts w:eastAsia="Arial" w:cs="Times New Roman"/>
          <w:lang w:eastAsia="en-GB"/>
        </w:rPr>
      </w:pPr>
    </w:p>
    <w:p w14:paraId="49230C71" w14:textId="77777777" w:rsidR="00D405E7" w:rsidRPr="00D405E7" w:rsidRDefault="00D405E7" w:rsidP="00D405E7"/>
    <w:p w14:paraId="3C30F7CD" w14:textId="5085D8BE" w:rsidR="00453850" w:rsidRPr="00321987" w:rsidRDefault="00453850" w:rsidP="00321987">
      <w:pPr>
        <w:pStyle w:val="Heading1"/>
        <w:spacing w:before="0" w:line="276" w:lineRule="auto"/>
        <w:rPr>
          <w:rFonts w:ascii="Gill Sans MT" w:hAnsi="Gill Sans MT"/>
          <w:sz w:val="22"/>
          <w:szCs w:val="22"/>
        </w:rPr>
      </w:pPr>
      <w:r w:rsidRPr="00321987">
        <w:rPr>
          <w:rFonts w:ascii="Gill Sans MT" w:hAnsi="Gill Sans MT"/>
          <w:sz w:val="22"/>
          <w:szCs w:val="22"/>
        </w:rPr>
        <w:t>Increasing Market Employability (IME) Program background</w:t>
      </w:r>
    </w:p>
    <w:p w14:paraId="76C9E5D1" w14:textId="56650A36" w:rsidR="003C6FC6" w:rsidRPr="00321987" w:rsidRDefault="003C6FC6" w:rsidP="00321987">
      <w:pPr>
        <w:spacing w:after="0" w:line="276" w:lineRule="auto"/>
        <w:rPr>
          <w:rFonts w:eastAsiaTheme="minorHAnsi"/>
        </w:rPr>
      </w:pPr>
      <w:r w:rsidRPr="00321987">
        <w:rPr>
          <w:rFonts w:eastAsiaTheme="minorHAnsi"/>
        </w:rPr>
        <w:t xml:space="preserve">Increasing Market Employability (IME) is a </w:t>
      </w:r>
      <w:proofErr w:type="spellStart"/>
      <w:r w:rsidRPr="00321987">
        <w:rPr>
          <w:rFonts w:eastAsiaTheme="minorHAnsi"/>
        </w:rPr>
        <w:t>programme</w:t>
      </w:r>
      <w:proofErr w:type="spellEnd"/>
      <w:r w:rsidRPr="00321987">
        <w:rPr>
          <w:rFonts w:eastAsiaTheme="minorHAnsi"/>
        </w:rPr>
        <w:t xml:space="preserve"> of the Swiss Agency for Development and Cooperation, implemented by Palladium. The IME </w:t>
      </w:r>
      <w:proofErr w:type="spellStart"/>
      <w:r w:rsidRPr="00321987">
        <w:rPr>
          <w:rFonts w:eastAsiaTheme="minorHAnsi"/>
        </w:rPr>
        <w:t>programme</w:t>
      </w:r>
      <w:proofErr w:type="spellEnd"/>
      <w:r w:rsidRPr="00321987">
        <w:rPr>
          <w:rFonts w:eastAsiaTheme="minorHAnsi"/>
        </w:rPr>
        <w:t xml:space="preserve"> works on strengthening the business sector in Macedonia, improving the quality of products and services offered, expanding markets and creating an enabling environment in three selected sectors: Sustainable Agriculture, Adventure Tourism, and Information and Communication Technology (ICT).</w:t>
      </w:r>
    </w:p>
    <w:p w14:paraId="3A8282C1" w14:textId="77777777" w:rsidR="003C6FC6" w:rsidRPr="00321987" w:rsidRDefault="003C6FC6" w:rsidP="00321987">
      <w:pPr>
        <w:spacing w:after="0" w:line="276" w:lineRule="auto"/>
        <w:rPr>
          <w:rFonts w:eastAsiaTheme="minorHAnsi"/>
        </w:rPr>
      </w:pPr>
      <w:r w:rsidRPr="00321987">
        <w:rPr>
          <w:rFonts w:eastAsiaTheme="minorHAnsi"/>
        </w:rPr>
        <w:t xml:space="preserve">The goal of the </w:t>
      </w:r>
      <w:proofErr w:type="spellStart"/>
      <w:r w:rsidRPr="00321987">
        <w:rPr>
          <w:rFonts w:eastAsiaTheme="minorHAnsi"/>
        </w:rPr>
        <w:t>programme</w:t>
      </w:r>
      <w:proofErr w:type="spellEnd"/>
      <w:r w:rsidRPr="00321987">
        <w:rPr>
          <w:rFonts w:eastAsiaTheme="minorHAnsi"/>
        </w:rPr>
        <w:t xml:space="preserve"> is that more working age women and men, </w:t>
      </w:r>
      <w:proofErr w:type="gramStart"/>
      <w:r w:rsidRPr="00321987">
        <w:rPr>
          <w:rFonts w:eastAsiaTheme="minorHAnsi"/>
        </w:rPr>
        <w:t>in particular young</w:t>
      </w:r>
      <w:proofErr w:type="gramEnd"/>
      <w:r w:rsidRPr="00321987">
        <w:rPr>
          <w:rFonts w:eastAsiaTheme="minorHAnsi"/>
        </w:rPr>
        <w:t xml:space="preserve">, are engaged in sustainable, decent employment or self-employment and/or are earning higher incomes. IME will create 2,706 new and higher quality jobs through private sector development in select high-growth sectors, so more working-age Macedonians, </w:t>
      </w:r>
      <w:proofErr w:type="gramStart"/>
      <w:r w:rsidRPr="00321987">
        <w:rPr>
          <w:rFonts w:eastAsiaTheme="minorHAnsi"/>
        </w:rPr>
        <w:t>in particular women</w:t>
      </w:r>
      <w:proofErr w:type="gramEnd"/>
      <w:r w:rsidRPr="00321987">
        <w:rPr>
          <w:rFonts w:eastAsiaTheme="minorHAnsi"/>
        </w:rPr>
        <w:t xml:space="preserve"> and youth, are engaged in sustainable, decent employment. IME’s updated design enables the project to deepen assistance to a smaller number of sectors and leverage complementary Swiss and other donor </w:t>
      </w:r>
      <w:proofErr w:type="spellStart"/>
      <w:r w:rsidRPr="00321987">
        <w:rPr>
          <w:rFonts w:eastAsiaTheme="minorHAnsi"/>
        </w:rPr>
        <w:t>programmes</w:t>
      </w:r>
      <w:proofErr w:type="spellEnd"/>
      <w:r w:rsidRPr="00321987">
        <w:rPr>
          <w:rFonts w:eastAsiaTheme="minorHAnsi"/>
        </w:rPr>
        <w:t xml:space="preserve"> to target resources to maximize impact and systemic change. To achieve this goal, IME Phase 2 will continue to use a market systems approach to achieve the following outcomes</w:t>
      </w:r>
    </w:p>
    <w:p w14:paraId="3BDEFB75" w14:textId="2A5CE1E3" w:rsidR="003C6FC6" w:rsidRPr="00321987" w:rsidRDefault="003C6FC6" w:rsidP="00321987">
      <w:pPr>
        <w:pStyle w:val="ListParagraph"/>
        <w:numPr>
          <w:ilvl w:val="0"/>
          <w:numId w:val="16"/>
        </w:numPr>
        <w:spacing w:after="0" w:line="276" w:lineRule="auto"/>
        <w:rPr>
          <w:rStyle w:val="IntenseEmphasis"/>
          <w:b w:val="0"/>
          <w:i w:val="0"/>
          <w:iCs w:val="0"/>
          <w:color w:val="auto"/>
        </w:rPr>
      </w:pPr>
      <w:bookmarkStart w:id="4" w:name="_Toc504045221"/>
      <w:bookmarkStart w:id="5" w:name="_Toc504052207"/>
      <w:bookmarkStart w:id="6" w:name="_Toc504053351"/>
      <w:bookmarkStart w:id="7" w:name="_Toc504747968"/>
      <w:bookmarkEnd w:id="0"/>
      <w:bookmarkEnd w:id="1"/>
      <w:bookmarkEnd w:id="2"/>
      <w:bookmarkEnd w:id="3"/>
      <w:r w:rsidRPr="00321987">
        <w:rPr>
          <w:rStyle w:val="IntenseEmphasis"/>
          <w:color w:val="auto"/>
        </w:rPr>
        <w:t xml:space="preserve">Outcome 1: </w:t>
      </w:r>
      <w:r w:rsidRPr="00321987">
        <w:rPr>
          <w:rStyle w:val="IntenseEmphasis"/>
          <w:b w:val="0"/>
          <w:color w:val="auto"/>
        </w:rPr>
        <w:t xml:space="preserve">Companies in select sectors grow by improving products and </w:t>
      </w:r>
      <w:r w:rsidR="00A62F3A" w:rsidRPr="00321987">
        <w:rPr>
          <w:rStyle w:val="IntenseEmphasis"/>
          <w:b w:val="0"/>
          <w:color w:val="auto"/>
        </w:rPr>
        <w:t>services and</w:t>
      </w:r>
      <w:r w:rsidRPr="00321987">
        <w:rPr>
          <w:rStyle w:val="IntenseEmphasis"/>
          <w:b w:val="0"/>
          <w:color w:val="auto"/>
        </w:rPr>
        <w:t xml:space="preserve"> expanding markets.</w:t>
      </w:r>
      <w:r w:rsidRPr="00321987">
        <w:rPr>
          <w:rStyle w:val="IntenseEmphasis"/>
          <w:color w:val="auto"/>
        </w:rPr>
        <w:t xml:space="preserve"> </w:t>
      </w:r>
    </w:p>
    <w:bookmarkEnd w:id="4"/>
    <w:bookmarkEnd w:id="5"/>
    <w:bookmarkEnd w:id="6"/>
    <w:bookmarkEnd w:id="7"/>
    <w:p w14:paraId="74618D12" w14:textId="77777777" w:rsidR="003C6FC6" w:rsidRPr="00321987" w:rsidRDefault="003C6FC6" w:rsidP="00321987">
      <w:pPr>
        <w:pStyle w:val="ListParagraph"/>
        <w:numPr>
          <w:ilvl w:val="0"/>
          <w:numId w:val="16"/>
        </w:numPr>
        <w:spacing w:after="0" w:line="276" w:lineRule="auto"/>
        <w:rPr>
          <w:b/>
          <w:i/>
          <w:color w:val="auto"/>
        </w:rPr>
      </w:pPr>
      <w:r w:rsidRPr="00321987">
        <w:rPr>
          <w:rStyle w:val="IntenseEmphasis"/>
          <w:color w:val="auto"/>
        </w:rPr>
        <w:t xml:space="preserve">Outcome 2: </w:t>
      </w:r>
      <w:r w:rsidRPr="00321987">
        <w:rPr>
          <w:rStyle w:val="IntenseEmphasis"/>
          <w:b w:val="0"/>
          <w:color w:val="auto"/>
        </w:rPr>
        <w:t>Improved services, policy and regulatory frameworks are conducive to companies’ growth in select sectors</w:t>
      </w:r>
      <w:r w:rsidRPr="00321987">
        <w:rPr>
          <w:b/>
          <w:i/>
          <w:color w:val="auto"/>
        </w:rPr>
        <w:tab/>
      </w:r>
    </w:p>
    <w:p w14:paraId="5D6DD603" w14:textId="77777777" w:rsidR="003C6FC6" w:rsidRPr="00321987" w:rsidRDefault="003C6FC6" w:rsidP="00321987">
      <w:pPr>
        <w:pStyle w:val="ListParagraph"/>
        <w:numPr>
          <w:ilvl w:val="0"/>
          <w:numId w:val="16"/>
        </w:numPr>
        <w:spacing w:after="0" w:line="276" w:lineRule="auto"/>
        <w:rPr>
          <w:b/>
          <w:i/>
          <w:color w:val="auto"/>
        </w:rPr>
      </w:pPr>
      <w:r w:rsidRPr="00321987">
        <w:rPr>
          <w:rStyle w:val="IntenseEmphasis"/>
          <w:color w:val="auto"/>
        </w:rPr>
        <w:t xml:space="preserve">Outcome 3: </w:t>
      </w:r>
      <w:r w:rsidRPr="00321987">
        <w:rPr>
          <w:rStyle w:val="IntenseEmphasis"/>
          <w:b w:val="0"/>
          <w:color w:val="auto"/>
        </w:rPr>
        <w:t>Private sector is incentivised to engage youth and women, and equipped with tools for identifying, attracting, and retaining them</w:t>
      </w:r>
      <w:r w:rsidRPr="00321987">
        <w:rPr>
          <w:b/>
          <w:i/>
          <w:color w:val="auto"/>
        </w:rPr>
        <w:t xml:space="preserve"> </w:t>
      </w:r>
    </w:p>
    <w:p w14:paraId="44776F66" w14:textId="77777777" w:rsidR="000B04B9" w:rsidRDefault="000B04B9" w:rsidP="00321987">
      <w:pPr>
        <w:shd w:val="clear" w:color="auto" w:fill="FFFFFF"/>
        <w:spacing w:after="0" w:line="276" w:lineRule="auto"/>
        <w:ind w:right="173"/>
        <w:rPr>
          <w:rFonts w:eastAsia="Times New Roman" w:cs="Arial"/>
          <w:lang w:eastAsia="mk-MK"/>
        </w:rPr>
      </w:pPr>
    </w:p>
    <w:p w14:paraId="1AC22D60" w14:textId="75940D05" w:rsidR="0070661C" w:rsidRPr="00321987" w:rsidRDefault="0070661C" w:rsidP="00321987">
      <w:pPr>
        <w:pStyle w:val="Heading1"/>
        <w:spacing w:before="0" w:line="276" w:lineRule="auto"/>
        <w:rPr>
          <w:rFonts w:ascii="Gill Sans MT" w:hAnsi="Gill Sans MT"/>
          <w:sz w:val="22"/>
          <w:szCs w:val="22"/>
        </w:rPr>
      </w:pPr>
      <w:bookmarkStart w:id="8" w:name="_Toc7274550"/>
      <w:r w:rsidRPr="00321987">
        <w:rPr>
          <w:rFonts w:ascii="Gill Sans MT" w:hAnsi="Gill Sans MT"/>
          <w:sz w:val="22"/>
          <w:szCs w:val="22"/>
        </w:rPr>
        <w:t>T</w:t>
      </w:r>
      <w:r w:rsidR="00FF6A6B" w:rsidRPr="00321987">
        <w:rPr>
          <w:rFonts w:ascii="Gill Sans MT" w:hAnsi="Gill Sans MT"/>
          <w:sz w:val="22"/>
          <w:szCs w:val="22"/>
        </w:rPr>
        <w:t>he</w:t>
      </w:r>
      <w:r w:rsidRPr="00321987">
        <w:rPr>
          <w:rFonts w:ascii="Gill Sans MT" w:hAnsi="Gill Sans MT"/>
          <w:sz w:val="22"/>
          <w:szCs w:val="22"/>
        </w:rPr>
        <w:t xml:space="preserve"> O</w:t>
      </w:r>
      <w:r w:rsidR="00FF6A6B" w:rsidRPr="00321987">
        <w:rPr>
          <w:rFonts w:ascii="Gill Sans MT" w:hAnsi="Gill Sans MT"/>
          <w:sz w:val="22"/>
          <w:szCs w:val="22"/>
        </w:rPr>
        <w:t>pportunity</w:t>
      </w:r>
      <w:r w:rsidRPr="00321987">
        <w:rPr>
          <w:rFonts w:ascii="Gill Sans MT" w:hAnsi="Gill Sans MT"/>
          <w:sz w:val="22"/>
          <w:szCs w:val="22"/>
        </w:rPr>
        <w:t xml:space="preserve"> F</w:t>
      </w:r>
      <w:r w:rsidR="00FF6A6B" w:rsidRPr="00321987">
        <w:rPr>
          <w:rFonts w:ascii="Gill Sans MT" w:hAnsi="Gill Sans MT"/>
          <w:sz w:val="22"/>
          <w:szCs w:val="22"/>
        </w:rPr>
        <w:t>und</w:t>
      </w:r>
      <w:bookmarkEnd w:id="8"/>
    </w:p>
    <w:p w14:paraId="20D856A5" w14:textId="77777777" w:rsidR="00A62F3A" w:rsidRDefault="0070661C" w:rsidP="00321987">
      <w:pPr>
        <w:spacing w:after="0" w:line="276" w:lineRule="auto"/>
        <w:rPr>
          <w:rFonts w:eastAsiaTheme="minorHAnsi"/>
          <w:lang w:val="en-GB"/>
        </w:rPr>
      </w:pPr>
      <w:r w:rsidRPr="00321987">
        <w:t xml:space="preserve">The purpose of the IME Opportunity Fund is to </w:t>
      </w:r>
      <w:r w:rsidR="004D0AC4">
        <w:t xml:space="preserve">increase the number of jobs, income and sales for private sector by </w:t>
      </w:r>
      <w:r w:rsidRPr="00321987">
        <w:t>address</w:t>
      </w:r>
      <w:r w:rsidR="004D0AC4">
        <w:t>ing</w:t>
      </w:r>
      <w:r w:rsidRPr="00321987">
        <w:t xml:space="preserve"> market system challenges </w:t>
      </w:r>
      <w:r w:rsidR="008D1CD6">
        <w:t xml:space="preserve">in the </w:t>
      </w:r>
      <w:r w:rsidR="008D1CD6" w:rsidRPr="008D1CD6">
        <w:rPr>
          <w:b/>
        </w:rPr>
        <w:t>agribusiness, adventure tourism and ICT sectors</w:t>
      </w:r>
      <w:r w:rsidRPr="00321987">
        <w:t xml:space="preserve">.  To address market failures in a sustained way, IME will partner with local anchor companies. </w:t>
      </w:r>
      <w:r w:rsidRPr="00321987">
        <w:rPr>
          <w:rFonts w:eastAsiaTheme="minorHAnsi"/>
        </w:rPr>
        <w:t xml:space="preserve">The funds will be strategically utilized to incentivize market actors, particularly first-movers or to jumpstart new business models, whether with individual firms or groups of firms engaged in anchor firm alliances. Many first-mover anchor firms need to prioritize their investment decisions due to limited resources, high cost of capital and cashflow constraints.  Meaning, that firms need to stagger their investments over several years.  This not only impacts their own business expansion and employment generation but has a trickle effect on the growth of their suppliers. The Opportunity Fund will not be used to substitute costs or investments the anchor firms would have made themselves.  It will be used to co-invest with anchor firms in investments that they are not able to undertake alone in this timeframe with the goal of generating growth and new employment. </w:t>
      </w:r>
      <w:r w:rsidR="004D0AC4">
        <w:rPr>
          <w:rFonts w:eastAsiaTheme="minorHAnsi"/>
        </w:rPr>
        <w:t xml:space="preserve">IME is </w:t>
      </w:r>
      <w:r w:rsidR="004D0AC4">
        <w:rPr>
          <w:rFonts w:eastAsiaTheme="minorHAnsi"/>
        </w:rPr>
        <w:lastRenderedPageBreak/>
        <w:t xml:space="preserve">looking to support innovative ideas that </w:t>
      </w:r>
      <w:r w:rsidR="004D0AC4">
        <w:rPr>
          <w:rFonts w:eastAsiaTheme="minorHAnsi"/>
          <w:lang w:val="en-GB"/>
        </w:rPr>
        <w:t>can be</w:t>
      </w:r>
      <w:r w:rsidR="004D0AC4" w:rsidRPr="00F71C4B">
        <w:rPr>
          <w:rFonts w:eastAsiaTheme="minorHAnsi"/>
          <w:lang w:val="en-GB"/>
        </w:rPr>
        <w:t xml:space="preserve"> replicate</w:t>
      </w:r>
      <w:r w:rsidR="004D0AC4">
        <w:rPr>
          <w:rFonts w:eastAsiaTheme="minorHAnsi"/>
          <w:lang w:val="en-GB"/>
        </w:rPr>
        <w:t>d</w:t>
      </w:r>
      <w:r w:rsidR="004D0AC4" w:rsidRPr="00F71C4B">
        <w:rPr>
          <w:rFonts w:eastAsiaTheme="minorHAnsi"/>
          <w:lang w:val="en-GB"/>
        </w:rPr>
        <w:t xml:space="preserve"> in the industry</w:t>
      </w:r>
      <w:r w:rsidR="004D0AC4">
        <w:rPr>
          <w:rFonts w:eastAsiaTheme="minorHAnsi"/>
          <w:lang w:val="en-GB"/>
        </w:rPr>
        <w:t xml:space="preserve"> and/or </w:t>
      </w:r>
      <w:r w:rsidR="004D0AC4" w:rsidRPr="00F71C4B">
        <w:rPr>
          <w:rFonts w:eastAsiaTheme="minorHAnsi"/>
          <w:lang w:val="en-GB"/>
        </w:rPr>
        <w:t>will lead to increased employment or incomes for MSMEs supplying to the anchor firm.</w:t>
      </w:r>
    </w:p>
    <w:p w14:paraId="7906C126" w14:textId="490325EA" w:rsidR="00EE4DC9" w:rsidRDefault="00EE4DC9" w:rsidP="00321987">
      <w:pPr>
        <w:spacing w:after="0" w:line="276" w:lineRule="auto"/>
        <w:rPr>
          <w:rFonts w:eastAsiaTheme="minorHAnsi"/>
        </w:rPr>
      </w:pPr>
    </w:p>
    <w:p w14:paraId="66BB3B12" w14:textId="51D717B8" w:rsidR="00EE4DC9" w:rsidRDefault="00EE4DC9" w:rsidP="00EE4DC9">
      <w:pPr>
        <w:spacing w:after="0" w:line="276" w:lineRule="auto"/>
        <w:rPr>
          <w:rFonts w:eastAsiaTheme="minorHAnsi"/>
        </w:rPr>
      </w:pPr>
      <w:r>
        <w:rPr>
          <w:rFonts w:cs="Arial"/>
        </w:rPr>
        <w:t>IME</w:t>
      </w:r>
      <w:r w:rsidRPr="008851C6">
        <w:rPr>
          <w:rFonts w:cs="Arial"/>
        </w:rPr>
        <w:t xml:space="preserve"> will </w:t>
      </w:r>
      <w:r>
        <w:rPr>
          <w:rFonts w:cs="Arial"/>
        </w:rPr>
        <w:t xml:space="preserve">provide support to Anchor Firms </w:t>
      </w:r>
      <w:r w:rsidRPr="008851C6">
        <w:rPr>
          <w:rFonts w:cs="Arial"/>
        </w:rPr>
        <w:t xml:space="preserve">in the range of </w:t>
      </w:r>
      <w:r>
        <w:rPr>
          <w:rFonts w:cs="Arial"/>
        </w:rPr>
        <w:t>CHF</w:t>
      </w:r>
      <w:r w:rsidRPr="008851C6">
        <w:rPr>
          <w:rFonts w:cs="Arial"/>
        </w:rPr>
        <w:t xml:space="preserve">5,000 – </w:t>
      </w:r>
      <w:r>
        <w:rPr>
          <w:rFonts w:cs="Arial"/>
        </w:rPr>
        <w:t>20</w:t>
      </w:r>
      <w:r w:rsidRPr="008851C6">
        <w:rPr>
          <w:rFonts w:cs="Arial"/>
        </w:rPr>
        <w:t xml:space="preserve">,000, though there may be exceptions both smaller and larger.  </w:t>
      </w:r>
      <w:r>
        <w:rPr>
          <w:rFonts w:cs="Arial"/>
        </w:rPr>
        <w:t>The p</w:t>
      </w:r>
      <w:r w:rsidRPr="00321987">
        <w:rPr>
          <w:rFonts w:eastAsiaTheme="minorHAnsi"/>
        </w:rPr>
        <w:t>roposed use of the fund include</w:t>
      </w:r>
      <w:r>
        <w:rPr>
          <w:rFonts w:eastAsiaTheme="minorHAnsi"/>
        </w:rPr>
        <w:t>s</w:t>
      </w:r>
      <w:r w:rsidRPr="00321987">
        <w:rPr>
          <w:rFonts w:eastAsiaTheme="minorHAnsi"/>
        </w:rPr>
        <w:t xml:space="preserve"> c</w:t>
      </w:r>
      <w:r w:rsidRPr="00321987">
        <w:t xml:space="preserve">o-funding </w:t>
      </w:r>
      <w:r>
        <w:t>with</w:t>
      </w:r>
      <w:r w:rsidRPr="00321987">
        <w:t xml:space="preserve"> anchor firms, suppliers, and other market actors to de-risk the development of new products or services (e.g. seed financing for product development) or strengthen the capacity of other supply chain actors.</w:t>
      </w:r>
      <w:r w:rsidRPr="00321987">
        <w:rPr>
          <w:rFonts w:eastAsiaTheme="minorHAnsi"/>
        </w:rPr>
        <w:t xml:space="preserve"> </w:t>
      </w:r>
    </w:p>
    <w:p w14:paraId="43B5C762" w14:textId="77777777" w:rsidR="007A016E" w:rsidRPr="00321987" w:rsidRDefault="007A016E" w:rsidP="00EE4DC9">
      <w:pPr>
        <w:spacing w:after="0" w:line="276" w:lineRule="auto"/>
        <w:rPr>
          <w:rFonts w:eastAsiaTheme="minorHAnsi"/>
        </w:rPr>
      </w:pPr>
    </w:p>
    <w:p w14:paraId="37D60B7D" w14:textId="77777777" w:rsidR="00EE4DC9" w:rsidRPr="00321987" w:rsidRDefault="00EE4DC9" w:rsidP="00EE4DC9">
      <w:pPr>
        <w:spacing w:after="0" w:line="276" w:lineRule="auto"/>
        <w:jc w:val="left"/>
        <w:rPr>
          <w:rFonts w:eastAsiaTheme="minorHAnsi"/>
          <w:lang w:val="en-GB"/>
        </w:rPr>
      </w:pPr>
      <w:r w:rsidRPr="00321987">
        <w:rPr>
          <w:rFonts w:eastAsiaTheme="minorHAnsi"/>
        </w:rPr>
        <w:t xml:space="preserve">Applicants will have to demonstrate how the activities supported through the Opportunity Fund will be sustained or continued once IME support ends, including financial and technical sustainability.  </w:t>
      </w:r>
    </w:p>
    <w:p w14:paraId="3764E49D" w14:textId="34A3377F" w:rsidR="00EE4DC9" w:rsidRDefault="00EE4DC9" w:rsidP="00321987">
      <w:pPr>
        <w:spacing w:after="0" w:line="276" w:lineRule="auto"/>
        <w:rPr>
          <w:rFonts w:eastAsiaTheme="minorHAnsi"/>
        </w:rPr>
      </w:pPr>
    </w:p>
    <w:p w14:paraId="47CBE019" w14:textId="7508C7BA" w:rsidR="008D1CD6" w:rsidRPr="008D1CD6" w:rsidRDefault="008D1CD6" w:rsidP="00321987">
      <w:pPr>
        <w:spacing w:after="0" w:line="276" w:lineRule="auto"/>
        <w:rPr>
          <w:rFonts w:eastAsiaTheme="majorEastAsia" w:cstheme="majorBidi"/>
          <w:b/>
          <w:bCs/>
          <w:color w:val="0391A6" w:themeColor="accent1" w:themeShade="BF"/>
        </w:rPr>
      </w:pPr>
      <w:bookmarkStart w:id="9" w:name="_Hlk14104232"/>
      <w:r w:rsidRPr="008D1CD6">
        <w:rPr>
          <w:rFonts w:eastAsiaTheme="majorEastAsia" w:cstheme="majorBidi"/>
          <w:b/>
          <w:bCs/>
          <w:color w:val="0391A6" w:themeColor="accent1" w:themeShade="BF"/>
        </w:rPr>
        <w:t>What are Anchor Firms?</w:t>
      </w:r>
    </w:p>
    <w:p w14:paraId="698AEF4B" w14:textId="1C3B4B7C" w:rsidR="008D1CD6" w:rsidRPr="002A3BDF" w:rsidRDefault="008D1CD6" w:rsidP="002A3BDF">
      <w:pPr>
        <w:pStyle w:val="ListParagraph"/>
        <w:numPr>
          <w:ilvl w:val="0"/>
          <w:numId w:val="42"/>
        </w:numPr>
        <w:spacing w:after="0" w:line="276" w:lineRule="auto"/>
        <w:rPr>
          <w:rFonts w:eastAsiaTheme="minorHAnsi"/>
        </w:rPr>
      </w:pPr>
      <w:r w:rsidRPr="002A3BDF">
        <w:rPr>
          <w:rFonts w:eastAsiaTheme="minorHAnsi"/>
        </w:rPr>
        <w:t>Anchor Firms need to operate in one of the following sectors:</w:t>
      </w:r>
    </w:p>
    <w:p w14:paraId="2594FBA1" w14:textId="5F8607FC" w:rsidR="008D1CD6" w:rsidRDefault="008D1CD6" w:rsidP="00321987">
      <w:pPr>
        <w:spacing w:after="0" w:line="276" w:lineRule="auto"/>
        <w:rPr>
          <w:rFonts w:eastAsiaTheme="minorHAnsi"/>
        </w:rPr>
      </w:pPr>
    </w:p>
    <w:tbl>
      <w:tblPr>
        <w:tblStyle w:val="GridTable1Light"/>
        <w:tblW w:w="0" w:type="auto"/>
        <w:tblLook w:val="04A0" w:firstRow="1" w:lastRow="0" w:firstColumn="1" w:lastColumn="0" w:noHBand="0" w:noVBand="1"/>
      </w:tblPr>
      <w:tblGrid>
        <w:gridCol w:w="2155"/>
        <w:gridCol w:w="7470"/>
      </w:tblGrid>
      <w:tr w:rsidR="002A3BDF" w14:paraId="03235F9D" w14:textId="77777777" w:rsidTr="00C00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F468313" w14:textId="54E7A4B3" w:rsidR="002A3BDF" w:rsidRDefault="002A3BDF" w:rsidP="002A3BDF">
            <w:pPr>
              <w:spacing w:line="276" w:lineRule="auto"/>
              <w:jc w:val="center"/>
              <w:rPr>
                <w:rFonts w:eastAsiaTheme="minorHAnsi"/>
              </w:rPr>
            </w:pPr>
            <w:r>
              <w:rPr>
                <w:rFonts w:eastAsiaTheme="minorHAnsi"/>
              </w:rPr>
              <w:t>Sector</w:t>
            </w:r>
          </w:p>
        </w:tc>
        <w:tc>
          <w:tcPr>
            <w:tcW w:w="7470" w:type="dxa"/>
          </w:tcPr>
          <w:p w14:paraId="1F1F1AC3" w14:textId="09405D36" w:rsidR="002A3BDF" w:rsidRDefault="002A3BDF" w:rsidP="002A3BD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rPr>
            </w:pPr>
            <w:r>
              <w:rPr>
                <w:rFonts w:eastAsiaTheme="minorHAnsi"/>
              </w:rPr>
              <w:t>Subsectors</w:t>
            </w:r>
          </w:p>
        </w:tc>
      </w:tr>
      <w:tr w:rsidR="002A3BDF" w14:paraId="6924531F" w14:textId="77777777" w:rsidTr="00C009A2">
        <w:tc>
          <w:tcPr>
            <w:cnfStyle w:val="001000000000" w:firstRow="0" w:lastRow="0" w:firstColumn="1" w:lastColumn="0" w:oddVBand="0" w:evenVBand="0" w:oddHBand="0" w:evenHBand="0" w:firstRowFirstColumn="0" w:firstRowLastColumn="0" w:lastRowFirstColumn="0" w:lastRowLastColumn="0"/>
            <w:tcW w:w="2155" w:type="dxa"/>
          </w:tcPr>
          <w:p w14:paraId="7F17AD2C" w14:textId="4905D1C1" w:rsidR="002A3BDF" w:rsidRPr="002A3BDF" w:rsidRDefault="002A3BDF" w:rsidP="00321987">
            <w:pPr>
              <w:spacing w:line="276" w:lineRule="auto"/>
              <w:rPr>
                <w:rFonts w:eastAsiaTheme="minorHAnsi"/>
                <w:b w:val="0"/>
              </w:rPr>
            </w:pPr>
            <w:r w:rsidRPr="002A3BDF">
              <w:rPr>
                <w:rFonts w:eastAsiaTheme="minorHAnsi"/>
                <w:b w:val="0"/>
              </w:rPr>
              <w:t>Agribusiness</w:t>
            </w:r>
          </w:p>
        </w:tc>
        <w:tc>
          <w:tcPr>
            <w:tcW w:w="7470" w:type="dxa"/>
          </w:tcPr>
          <w:p w14:paraId="78502AF9" w14:textId="40E437B8" w:rsidR="002A3BDF" w:rsidRPr="002A3BDF" w:rsidRDefault="0024769B" w:rsidP="002A3BDF">
            <w:pPr>
              <w:pStyle w:val="ListParagraph"/>
              <w:numPr>
                <w:ilvl w:val="0"/>
                <w:numId w:val="44"/>
              </w:numPr>
              <w:spacing w:line="276" w:lineRule="auto"/>
              <w:ind w:left="346"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Companies that grow, collect, package f</w:t>
            </w:r>
            <w:r w:rsidR="002A3BDF" w:rsidRPr="002A3BDF">
              <w:rPr>
                <w:rFonts w:eastAsiaTheme="minorHAnsi"/>
              </w:rPr>
              <w:t>resh fruit and vegetables for export</w:t>
            </w:r>
            <w:r>
              <w:rPr>
                <w:rFonts w:eastAsiaTheme="minorHAnsi"/>
              </w:rPr>
              <w:t>.  This can include growers if they are directly exporting the Fruits and Vegetables (F&amp;V)</w:t>
            </w:r>
          </w:p>
          <w:p w14:paraId="58022FA7" w14:textId="58B73726" w:rsidR="002A3BDF" w:rsidRDefault="0024769B" w:rsidP="002A3BDF">
            <w:pPr>
              <w:pStyle w:val="ListParagraph"/>
              <w:numPr>
                <w:ilvl w:val="0"/>
                <w:numId w:val="44"/>
              </w:numPr>
              <w:spacing w:line="276" w:lineRule="auto"/>
              <w:ind w:left="346"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Companies that p</w:t>
            </w:r>
            <w:r w:rsidR="002A3BDF" w:rsidRPr="002A3BDF">
              <w:rPr>
                <w:rFonts w:eastAsiaTheme="minorHAnsi"/>
              </w:rPr>
              <w:t xml:space="preserve">rocess fruit and vegetables </w:t>
            </w:r>
            <w:r>
              <w:rPr>
                <w:rFonts w:eastAsiaTheme="minorHAnsi"/>
              </w:rPr>
              <w:t xml:space="preserve">for </w:t>
            </w:r>
            <w:r w:rsidR="002A3BDF" w:rsidRPr="002A3BDF">
              <w:rPr>
                <w:rFonts w:eastAsiaTheme="minorHAnsi"/>
              </w:rPr>
              <w:t xml:space="preserve">both export and domestic </w:t>
            </w:r>
            <w:r>
              <w:rPr>
                <w:rFonts w:eastAsiaTheme="minorHAnsi"/>
              </w:rPr>
              <w:t>markets</w:t>
            </w:r>
          </w:p>
          <w:p w14:paraId="27B105D4" w14:textId="77777777" w:rsidR="002A3BDF" w:rsidRDefault="00CD7CAF" w:rsidP="002A3BDF">
            <w:pPr>
              <w:pStyle w:val="ListParagraph"/>
              <w:numPr>
                <w:ilvl w:val="0"/>
                <w:numId w:val="44"/>
              </w:numPr>
              <w:spacing w:line="276" w:lineRule="auto"/>
              <w:ind w:left="346"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Companies organizing collection and </w:t>
            </w:r>
            <w:r w:rsidR="00C009A2">
              <w:rPr>
                <w:rFonts w:eastAsiaTheme="minorHAnsi"/>
              </w:rPr>
              <w:t xml:space="preserve">sales </w:t>
            </w:r>
            <w:r>
              <w:rPr>
                <w:rFonts w:eastAsiaTheme="minorHAnsi"/>
              </w:rPr>
              <w:t>of</w:t>
            </w:r>
            <w:r w:rsidR="00C009A2">
              <w:rPr>
                <w:rFonts w:eastAsiaTheme="minorHAnsi"/>
              </w:rPr>
              <w:t xml:space="preserve"> fresh </w:t>
            </w:r>
            <w:r>
              <w:rPr>
                <w:rFonts w:eastAsiaTheme="minorHAnsi"/>
              </w:rPr>
              <w:t>F&amp;V</w:t>
            </w:r>
          </w:p>
          <w:p w14:paraId="4A5B7875" w14:textId="3115199A" w:rsidR="0024769B" w:rsidRPr="002A3BDF" w:rsidRDefault="0024769B" w:rsidP="002A3BDF">
            <w:pPr>
              <w:pStyle w:val="ListParagraph"/>
              <w:numPr>
                <w:ilvl w:val="0"/>
                <w:numId w:val="44"/>
              </w:numPr>
              <w:spacing w:line="276" w:lineRule="auto"/>
              <w:ind w:left="346"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Companies organizing the collection, packaging of organic F&amp;V</w:t>
            </w:r>
          </w:p>
        </w:tc>
      </w:tr>
      <w:tr w:rsidR="002A3BDF" w14:paraId="068D641A" w14:textId="77777777" w:rsidTr="00C009A2">
        <w:tc>
          <w:tcPr>
            <w:cnfStyle w:val="001000000000" w:firstRow="0" w:lastRow="0" w:firstColumn="1" w:lastColumn="0" w:oddVBand="0" w:evenVBand="0" w:oddHBand="0" w:evenHBand="0" w:firstRowFirstColumn="0" w:firstRowLastColumn="0" w:lastRowFirstColumn="0" w:lastRowLastColumn="0"/>
            <w:tcW w:w="2155" w:type="dxa"/>
          </w:tcPr>
          <w:p w14:paraId="3195BB88" w14:textId="1EEA59FC" w:rsidR="002A3BDF" w:rsidRPr="002A3BDF" w:rsidRDefault="00C009A2" w:rsidP="00321987">
            <w:pPr>
              <w:spacing w:line="276" w:lineRule="auto"/>
              <w:rPr>
                <w:rFonts w:eastAsiaTheme="minorHAnsi"/>
                <w:b w:val="0"/>
              </w:rPr>
            </w:pPr>
            <w:r>
              <w:rPr>
                <w:rFonts w:eastAsiaTheme="minorHAnsi"/>
                <w:b w:val="0"/>
              </w:rPr>
              <w:t>Adventure Tourism</w:t>
            </w:r>
          </w:p>
        </w:tc>
        <w:tc>
          <w:tcPr>
            <w:tcW w:w="7470" w:type="dxa"/>
          </w:tcPr>
          <w:p w14:paraId="7BF19723" w14:textId="58E1DB0A" w:rsidR="00C009A2" w:rsidRPr="0024769B" w:rsidRDefault="0024769B" w:rsidP="00C009A2">
            <w:pPr>
              <w:pStyle w:val="ListParagraph"/>
              <w:numPr>
                <w:ilvl w:val="0"/>
                <w:numId w:val="44"/>
              </w:numPr>
              <w:spacing w:line="276" w:lineRule="auto"/>
              <w:ind w:left="346" w:hanging="270"/>
              <w:cnfStyle w:val="000000000000" w:firstRow="0" w:lastRow="0" w:firstColumn="0" w:lastColumn="0" w:oddVBand="0" w:evenVBand="0" w:oddHBand="0" w:evenHBand="0" w:firstRowFirstColumn="0" w:firstRowLastColumn="0" w:lastRowFirstColumn="0" w:lastRowLastColumn="0"/>
              <w:rPr>
                <w:rFonts w:eastAsiaTheme="minorHAnsi"/>
              </w:rPr>
            </w:pPr>
            <w:r w:rsidRPr="0024769B">
              <w:rPr>
                <w:rFonts w:eastAsiaTheme="minorHAnsi"/>
              </w:rPr>
              <w:t>Tour operators that provide tours for b</w:t>
            </w:r>
            <w:r w:rsidR="00C009A2" w:rsidRPr="0024769B">
              <w:rPr>
                <w:rFonts w:eastAsiaTheme="minorHAnsi"/>
              </w:rPr>
              <w:t>iking</w:t>
            </w:r>
            <w:r w:rsidRPr="0024769B">
              <w:rPr>
                <w:rFonts w:eastAsiaTheme="minorHAnsi"/>
              </w:rPr>
              <w:t>, h</w:t>
            </w:r>
            <w:r w:rsidR="00C009A2" w:rsidRPr="0024769B">
              <w:rPr>
                <w:rFonts w:eastAsiaTheme="minorHAnsi"/>
              </w:rPr>
              <w:t>iking</w:t>
            </w:r>
            <w:r w:rsidRPr="0024769B">
              <w:rPr>
                <w:rFonts w:eastAsiaTheme="minorHAnsi"/>
              </w:rPr>
              <w:t>, p</w:t>
            </w:r>
            <w:r w:rsidR="00C009A2" w:rsidRPr="0024769B">
              <w:rPr>
                <w:rFonts w:eastAsiaTheme="minorHAnsi"/>
              </w:rPr>
              <w:t>aragliding,</w:t>
            </w:r>
            <w:r w:rsidRPr="0024769B">
              <w:rPr>
                <w:rFonts w:eastAsiaTheme="minorHAnsi"/>
              </w:rPr>
              <w:t xml:space="preserve"> </w:t>
            </w:r>
            <w:r w:rsidR="00A62F3A" w:rsidRPr="0024769B">
              <w:rPr>
                <w:rFonts w:eastAsiaTheme="minorHAnsi"/>
              </w:rPr>
              <w:t>rock climbing</w:t>
            </w:r>
            <w:r w:rsidRPr="0024769B">
              <w:rPr>
                <w:rFonts w:eastAsiaTheme="minorHAnsi"/>
              </w:rPr>
              <w:t xml:space="preserve">, </w:t>
            </w:r>
            <w:r>
              <w:rPr>
                <w:rFonts w:eastAsiaTheme="minorHAnsi"/>
              </w:rPr>
              <w:t>s</w:t>
            </w:r>
            <w:r w:rsidR="00C009A2" w:rsidRPr="0024769B">
              <w:rPr>
                <w:rFonts w:eastAsiaTheme="minorHAnsi"/>
              </w:rPr>
              <w:t>oft adventure</w:t>
            </w:r>
            <w:r>
              <w:rPr>
                <w:rFonts w:eastAsiaTheme="minorHAnsi"/>
              </w:rPr>
              <w:t xml:space="preserve"> tourism </w:t>
            </w:r>
          </w:p>
          <w:p w14:paraId="4D01C16A" w14:textId="09940994" w:rsidR="00C009A2" w:rsidRDefault="00555185" w:rsidP="00C009A2">
            <w:pPr>
              <w:pStyle w:val="ListParagraph"/>
              <w:numPr>
                <w:ilvl w:val="0"/>
                <w:numId w:val="44"/>
              </w:numPr>
              <w:spacing w:line="276" w:lineRule="auto"/>
              <w:ind w:left="346"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General t</w:t>
            </w:r>
            <w:r w:rsidR="0024769B">
              <w:rPr>
                <w:rFonts w:eastAsiaTheme="minorHAnsi"/>
              </w:rPr>
              <w:t>our providers that provide tour packages that includes adventure tourism</w:t>
            </w:r>
            <w:r>
              <w:rPr>
                <w:rFonts w:eastAsiaTheme="minorHAnsi"/>
              </w:rPr>
              <w:t xml:space="preserve"> elements</w:t>
            </w:r>
          </w:p>
          <w:p w14:paraId="58482021" w14:textId="10D3371A" w:rsidR="00C009A2" w:rsidRPr="00C009A2" w:rsidRDefault="00C009A2" w:rsidP="00C009A2">
            <w:pPr>
              <w:pStyle w:val="ListParagraph"/>
              <w:numPr>
                <w:ilvl w:val="0"/>
                <w:numId w:val="44"/>
              </w:numPr>
              <w:spacing w:line="276" w:lineRule="auto"/>
              <w:ind w:left="346"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Other</w:t>
            </w:r>
            <w:r w:rsidR="0024769B">
              <w:rPr>
                <w:rFonts w:eastAsiaTheme="minorHAnsi"/>
              </w:rPr>
              <w:t xml:space="preserve"> tourism-related stakeholders (small businesses, hospitality providers) that provide a service in the adventure tourism sector</w:t>
            </w:r>
          </w:p>
        </w:tc>
      </w:tr>
      <w:tr w:rsidR="00C009A2" w14:paraId="02129B80" w14:textId="77777777" w:rsidTr="00C009A2">
        <w:tc>
          <w:tcPr>
            <w:cnfStyle w:val="001000000000" w:firstRow="0" w:lastRow="0" w:firstColumn="1" w:lastColumn="0" w:oddVBand="0" w:evenVBand="0" w:oddHBand="0" w:evenHBand="0" w:firstRowFirstColumn="0" w:firstRowLastColumn="0" w:lastRowFirstColumn="0" w:lastRowLastColumn="0"/>
            <w:tcW w:w="2155" w:type="dxa"/>
          </w:tcPr>
          <w:p w14:paraId="411196BA" w14:textId="0311B22E" w:rsidR="00C009A2" w:rsidRPr="00C009A2" w:rsidRDefault="00C009A2" w:rsidP="00321987">
            <w:pPr>
              <w:spacing w:line="276" w:lineRule="auto"/>
              <w:rPr>
                <w:rFonts w:eastAsiaTheme="minorHAnsi"/>
                <w:b w:val="0"/>
              </w:rPr>
            </w:pPr>
            <w:r w:rsidRPr="00C009A2">
              <w:rPr>
                <w:rFonts w:eastAsiaTheme="minorHAnsi"/>
                <w:b w:val="0"/>
              </w:rPr>
              <w:t>I</w:t>
            </w:r>
            <w:r>
              <w:rPr>
                <w:rFonts w:eastAsiaTheme="minorHAnsi"/>
                <w:b w:val="0"/>
              </w:rPr>
              <w:t>CT</w:t>
            </w:r>
          </w:p>
        </w:tc>
        <w:tc>
          <w:tcPr>
            <w:tcW w:w="7470" w:type="dxa"/>
          </w:tcPr>
          <w:p w14:paraId="771CE8DE" w14:textId="1F3A7334" w:rsidR="00C009A2" w:rsidRDefault="00C009A2" w:rsidP="00C009A2">
            <w:pPr>
              <w:pStyle w:val="ListParagraph"/>
              <w:numPr>
                <w:ilvl w:val="0"/>
                <w:numId w:val="44"/>
              </w:numPr>
              <w:spacing w:line="276" w:lineRule="auto"/>
              <w:ind w:left="341"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Software developers </w:t>
            </w:r>
            <w:r w:rsidR="00555185">
              <w:rPr>
                <w:rFonts w:eastAsiaTheme="minorHAnsi"/>
              </w:rPr>
              <w:t xml:space="preserve">that are </w:t>
            </w:r>
            <w:r>
              <w:rPr>
                <w:rFonts w:eastAsiaTheme="minorHAnsi"/>
              </w:rPr>
              <w:t>outsource</w:t>
            </w:r>
            <w:r w:rsidR="00555185">
              <w:rPr>
                <w:rFonts w:eastAsiaTheme="minorHAnsi"/>
              </w:rPr>
              <w:t xml:space="preserve"> companies</w:t>
            </w:r>
          </w:p>
          <w:p w14:paraId="0AF85B05" w14:textId="77777777" w:rsidR="00C009A2" w:rsidRDefault="00C009A2" w:rsidP="00C009A2">
            <w:pPr>
              <w:pStyle w:val="ListParagraph"/>
              <w:numPr>
                <w:ilvl w:val="0"/>
                <w:numId w:val="44"/>
              </w:numPr>
              <w:spacing w:line="276" w:lineRule="auto"/>
              <w:ind w:left="341"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Software developers for original </w:t>
            </w:r>
            <w:r w:rsidR="00CD7CAF">
              <w:rPr>
                <w:rFonts w:eastAsiaTheme="minorHAnsi"/>
              </w:rPr>
              <w:t>product development</w:t>
            </w:r>
          </w:p>
          <w:p w14:paraId="5AD03F20" w14:textId="32F333E0" w:rsidR="00CD7CAF" w:rsidRPr="00C009A2" w:rsidRDefault="0024769B" w:rsidP="00C009A2">
            <w:pPr>
              <w:pStyle w:val="ListParagraph"/>
              <w:numPr>
                <w:ilvl w:val="0"/>
                <w:numId w:val="44"/>
              </w:numPr>
              <w:spacing w:line="276" w:lineRule="auto"/>
              <w:ind w:left="341" w:hanging="27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For-profit organizations that provide training support for ICT staff</w:t>
            </w:r>
          </w:p>
        </w:tc>
      </w:tr>
    </w:tbl>
    <w:p w14:paraId="643F9A67" w14:textId="77134CB6" w:rsidR="008D1CD6" w:rsidRDefault="008D1CD6" w:rsidP="00321987">
      <w:pPr>
        <w:spacing w:after="0" w:line="276" w:lineRule="auto"/>
        <w:rPr>
          <w:rFonts w:eastAsiaTheme="minorHAnsi"/>
        </w:rPr>
      </w:pPr>
    </w:p>
    <w:p w14:paraId="3A72E684" w14:textId="65022E4B" w:rsidR="008D1CD6" w:rsidRDefault="008D1CD6" w:rsidP="00321987">
      <w:pPr>
        <w:spacing w:after="0" w:line="276" w:lineRule="auto"/>
        <w:rPr>
          <w:rFonts w:eastAsiaTheme="minorHAnsi"/>
        </w:rPr>
      </w:pPr>
    </w:p>
    <w:p w14:paraId="1FB6D302" w14:textId="3719DD03" w:rsidR="008D1CD6" w:rsidRDefault="008D1CD6" w:rsidP="002A3BDF">
      <w:pPr>
        <w:pStyle w:val="ListParagraph"/>
        <w:numPr>
          <w:ilvl w:val="0"/>
          <w:numId w:val="42"/>
        </w:numPr>
        <w:spacing w:after="0" w:line="276" w:lineRule="auto"/>
        <w:rPr>
          <w:rFonts w:eastAsiaTheme="minorHAnsi"/>
        </w:rPr>
      </w:pPr>
      <w:r w:rsidRPr="002A3BDF">
        <w:rPr>
          <w:rFonts w:eastAsiaTheme="minorHAnsi"/>
        </w:rPr>
        <w:t>Anchor firms are</w:t>
      </w:r>
      <w:r w:rsidR="002A3BDF" w:rsidRPr="002A3BDF">
        <w:rPr>
          <w:rFonts w:eastAsiaTheme="minorHAnsi"/>
        </w:rPr>
        <w:t xml:space="preserve"> companies or non-for-profit organizations that operate for the purpose of profit (for example, agricultural cooperatives).  </w:t>
      </w:r>
    </w:p>
    <w:bookmarkEnd w:id="9"/>
    <w:p w14:paraId="76407E40" w14:textId="605FB0E4" w:rsidR="0024769B" w:rsidRPr="0024769B" w:rsidRDefault="0024769B" w:rsidP="0024769B">
      <w:pPr>
        <w:spacing w:after="0" w:line="276" w:lineRule="auto"/>
        <w:ind w:left="360"/>
        <w:rPr>
          <w:rFonts w:eastAsiaTheme="minorHAnsi"/>
        </w:rPr>
      </w:pPr>
    </w:p>
    <w:p w14:paraId="507A25C0" w14:textId="7D675533" w:rsidR="00453850" w:rsidRPr="00321987" w:rsidRDefault="00453850" w:rsidP="00321987">
      <w:pPr>
        <w:pStyle w:val="Heading2"/>
        <w:spacing w:before="0" w:line="276" w:lineRule="auto"/>
        <w:rPr>
          <w:rFonts w:ascii="Gill Sans MT" w:hAnsi="Gill Sans MT"/>
          <w:sz w:val="22"/>
          <w:szCs w:val="22"/>
        </w:rPr>
      </w:pPr>
      <w:bookmarkStart w:id="10" w:name="_Toc7274551"/>
      <w:r w:rsidRPr="00321987">
        <w:rPr>
          <w:rFonts w:ascii="Gill Sans MT" w:hAnsi="Gill Sans MT"/>
          <w:sz w:val="22"/>
          <w:szCs w:val="22"/>
        </w:rPr>
        <w:t xml:space="preserve">Types of </w:t>
      </w:r>
      <w:bookmarkEnd w:id="10"/>
      <w:r w:rsidR="00D94F88" w:rsidRPr="00321987">
        <w:rPr>
          <w:rFonts w:ascii="Gill Sans MT" w:hAnsi="Gill Sans MT"/>
          <w:sz w:val="22"/>
          <w:szCs w:val="22"/>
        </w:rPr>
        <w:t xml:space="preserve">Interventions/Activities to be supported </w:t>
      </w:r>
    </w:p>
    <w:p w14:paraId="79070EA3" w14:textId="5E8AF919" w:rsidR="00453850" w:rsidRPr="00321987" w:rsidRDefault="00453850" w:rsidP="00321987">
      <w:pPr>
        <w:spacing w:after="0" w:line="276" w:lineRule="auto"/>
      </w:pPr>
      <w:r w:rsidRPr="00321987">
        <w:t xml:space="preserve">The Opportunity Fund will be primarily used to de-risk investments into new investments by individual companies or companies collaborating to develop a new business model.  Below is a list of </w:t>
      </w:r>
      <w:r w:rsidR="00F109D1" w:rsidRPr="00321987">
        <w:t xml:space="preserve">illustrative </w:t>
      </w:r>
      <w:r w:rsidRPr="00321987">
        <w:t>areas of intervention</w:t>
      </w:r>
      <w:r w:rsidR="00030D5D" w:rsidRPr="00321987">
        <w:t>s</w:t>
      </w:r>
      <w:r w:rsidRPr="00321987">
        <w:t xml:space="preserve"> that the Opportunity Fund may be used for:</w:t>
      </w:r>
    </w:p>
    <w:p w14:paraId="48938FFD" w14:textId="2DF6ACFF" w:rsidR="00CA5B3C" w:rsidRPr="00321987" w:rsidRDefault="00CA5B3C" w:rsidP="00CA5B3C">
      <w:pPr>
        <w:pStyle w:val="ListParagraph"/>
        <w:numPr>
          <w:ilvl w:val="0"/>
          <w:numId w:val="18"/>
        </w:numPr>
        <w:spacing w:after="0" w:line="276" w:lineRule="auto"/>
      </w:pPr>
      <w:r w:rsidRPr="00321987">
        <w:t xml:space="preserve">Investments with anchor firms to develop new products to </w:t>
      </w:r>
      <w:r w:rsidR="00564FDE">
        <w:t xml:space="preserve">expand or </w:t>
      </w:r>
      <w:r w:rsidRPr="00321987">
        <w:t xml:space="preserve">reach new markets and where the new product has the potential for uptake by other firms. </w:t>
      </w:r>
    </w:p>
    <w:p w14:paraId="34224D47" w14:textId="612CFC7B" w:rsidR="00453850" w:rsidRPr="00321987" w:rsidRDefault="00453850" w:rsidP="00321987">
      <w:pPr>
        <w:pStyle w:val="ListParagraph"/>
        <w:numPr>
          <w:ilvl w:val="0"/>
          <w:numId w:val="18"/>
        </w:numPr>
        <w:spacing w:after="0" w:line="276" w:lineRule="auto"/>
      </w:pPr>
      <w:r w:rsidRPr="00321987">
        <w:t xml:space="preserve">Investments to expand agri-food supply chains whereby </w:t>
      </w:r>
      <w:r w:rsidR="00CA5B3C">
        <w:t xml:space="preserve">the anchor firm, </w:t>
      </w:r>
      <w:r w:rsidRPr="00321987">
        <w:t xml:space="preserve">farmers </w:t>
      </w:r>
      <w:r w:rsidR="003D1992" w:rsidRPr="00321987">
        <w:t xml:space="preserve">and other MSMEs </w:t>
      </w:r>
      <w:r w:rsidRPr="00321987">
        <w:t>supplying to anchor firms can improve productivity and increase revenues.</w:t>
      </w:r>
      <w:r w:rsidR="00CA5B3C">
        <w:t xml:space="preserve"> </w:t>
      </w:r>
    </w:p>
    <w:p w14:paraId="20CFBB62" w14:textId="77777777" w:rsidR="00453850" w:rsidRPr="00321987" w:rsidRDefault="00453850" w:rsidP="00321987">
      <w:pPr>
        <w:pStyle w:val="ListParagraph"/>
        <w:numPr>
          <w:ilvl w:val="0"/>
          <w:numId w:val="18"/>
        </w:numPr>
        <w:spacing w:after="0" w:line="276" w:lineRule="auto"/>
      </w:pPr>
      <w:r w:rsidRPr="00321987">
        <w:t>Investments to expand the tourism offer in tourism destinations for adventure tourism and other tourism products to expand the tourism experience</w:t>
      </w:r>
    </w:p>
    <w:p w14:paraId="5C54693B" w14:textId="5C5285B7" w:rsidR="00453850" w:rsidRPr="00321987" w:rsidRDefault="00CA5B3C" w:rsidP="00321987">
      <w:pPr>
        <w:pStyle w:val="ListParagraph"/>
        <w:numPr>
          <w:ilvl w:val="0"/>
          <w:numId w:val="18"/>
        </w:numPr>
        <w:spacing w:after="0" w:line="276" w:lineRule="auto"/>
      </w:pPr>
      <w:r>
        <w:t>Investments in d</w:t>
      </w:r>
      <w:r w:rsidR="00453850" w:rsidRPr="00321987">
        <w:t xml:space="preserve">evelopment of new ICT </w:t>
      </w:r>
      <w:r>
        <w:t xml:space="preserve">solutions, </w:t>
      </w:r>
      <w:r w:rsidR="00453850" w:rsidRPr="00321987">
        <w:t>applications and programs for</w:t>
      </w:r>
      <w:r>
        <w:t xml:space="preserve"> serving specific market needs and approaching</w:t>
      </w:r>
      <w:r w:rsidR="00453850" w:rsidRPr="00321987">
        <w:t xml:space="preserve"> new markets</w:t>
      </w:r>
    </w:p>
    <w:p w14:paraId="2D55D2FA" w14:textId="03BBABBF" w:rsidR="00453850" w:rsidRPr="00321987" w:rsidRDefault="00453850" w:rsidP="00321987">
      <w:pPr>
        <w:pStyle w:val="ListParagraph"/>
        <w:numPr>
          <w:ilvl w:val="0"/>
          <w:numId w:val="18"/>
        </w:numPr>
        <w:spacing w:after="0" w:line="276" w:lineRule="auto"/>
      </w:pPr>
      <w:r w:rsidRPr="00321987">
        <w:lastRenderedPageBreak/>
        <w:t xml:space="preserve">Other innovative models </w:t>
      </w:r>
    </w:p>
    <w:p w14:paraId="3DBF174D" w14:textId="2B1F33CC" w:rsidR="001B09C1" w:rsidRDefault="001B09C1" w:rsidP="001B09C1">
      <w:pPr>
        <w:pStyle w:val="ListParagraph"/>
        <w:spacing w:after="0" w:line="276" w:lineRule="auto"/>
        <w:ind w:left="90"/>
      </w:pPr>
    </w:p>
    <w:p w14:paraId="1A2B7332" w14:textId="77777777" w:rsidR="004C3A27" w:rsidRPr="000B04B9" w:rsidRDefault="004C3A27" w:rsidP="004C3A27">
      <w:pPr>
        <w:autoSpaceDE w:val="0"/>
        <w:autoSpaceDN w:val="0"/>
        <w:adjustRightInd w:val="0"/>
        <w:spacing w:after="0"/>
        <w:jc w:val="left"/>
        <w:rPr>
          <w:rFonts w:eastAsia="Arial" w:cs="Times New Roman"/>
          <w:lang w:eastAsia="en-GB"/>
        </w:rPr>
      </w:pPr>
      <w:r>
        <w:rPr>
          <w:rFonts w:eastAsia="Arial" w:cs="Times New Roman"/>
          <w:lang w:eastAsia="en-GB"/>
        </w:rPr>
        <w:t>Opportunity Fund</w:t>
      </w:r>
      <w:r w:rsidRPr="000B04B9">
        <w:rPr>
          <w:rFonts w:eastAsia="Arial" w:cs="Times New Roman"/>
          <w:lang w:eastAsia="en-GB"/>
        </w:rPr>
        <w:t xml:space="preserve"> </w:t>
      </w:r>
      <w:r w:rsidRPr="000B04B9">
        <w:rPr>
          <w:rFonts w:eastAsia="Arial" w:cs="Times New Roman"/>
          <w:b/>
          <w:bCs/>
          <w:lang w:eastAsia="en-GB"/>
        </w:rPr>
        <w:t xml:space="preserve">will not </w:t>
      </w:r>
      <w:r w:rsidRPr="000B04B9">
        <w:rPr>
          <w:rFonts w:eastAsia="Arial" w:cs="Times New Roman"/>
          <w:lang w:eastAsia="en-GB"/>
        </w:rPr>
        <w:t xml:space="preserve">cover any of the following activities: </w:t>
      </w:r>
    </w:p>
    <w:p w14:paraId="0FEEFE90" w14:textId="5A46C6DC" w:rsidR="004C3A27" w:rsidRPr="00F71C4B" w:rsidRDefault="004C3A27" w:rsidP="004C3A27">
      <w:pPr>
        <w:pStyle w:val="ListParagraph"/>
        <w:numPr>
          <w:ilvl w:val="0"/>
          <w:numId w:val="27"/>
        </w:numPr>
        <w:autoSpaceDE w:val="0"/>
        <w:autoSpaceDN w:val="0"/>
        <w:adjustRightInd w:val="0"/>
        <w:spacing w:after="74"/>
        <w:jc w:val="left"/>
        <w:rPr>
          <w:rFonts w:eastAsia="Arial" w:cs="Times New Roman"/>
          <w:lang w:eastAsia="en-GB"/>
        </w:rPr>
      </w:pPr>
      <w:r w:rsidRPr="00F71C4B">
        <w:rPr>
          <w:rFonts w:eastAsia="Arial" w:cs="Times New Roman"/>
          <w:lang w:eastAsia="en-GB"/>
        </w:rPr>
        <w:t xml:space="preserve">Capital expenditures, including </w:t>
      </w:r>
      <w:r>
        <w:rPr>
          <w:rFonts w:eastAsia="Arial" w:cs="Times New Roman"/>
          <w:lang w:eastAsia="en-GB"/>
        </w:rPr>
        <w:t xml:space="preserve">purchase of fixed assets </w:t>
      </w:r>
      <w:r w:rsidRPr="00F71C4B">
        <w:rPr>
          <w:rFonts w:eastAsia="Arial" w:cs="Times New Roman"/>
          <w:lang w:eastAsia="en-GB"/>
        </w:rPr>
        <w:t xml:space="preserve">or buying real </w:t>
      </w:r>
      <w:r>
        <w:rPr>
          <w:rFonts w:eastAsia="Arial" w:cs="Times New Roman"/>
          <w:lang w:eastAsia="en-GB"/>
        </w:rPr>
        <w:t>estate</w:t>
      </w:r>
      <w:r w:rsidRPr="00F71C4B">
        <w:rPr>
          <w:rFonts w:eastAsia="Arial" w:cs="Times New Roman"/>
          <w:lang w:eastAsia="en-GB"/>
        </w:rPr>
        <w:t xml:space="preserve">; </w:t>
      </w:r>
    </w:p>
    <w:p w14:paraId="5EA89308" w14:textId="77777777" w:rsidR="004C3A27" w:rsidRPr="00F71C4B" w:rsidRDefault="004C3A27" w:rsidP="004C3A27">
      <w:pPr>
        <w:pStyle w:val="ListParagraph"/>
        <w:numPr>
          <w:ilvl w:val="0"/>
          <w:numId w:val="27"/>
        </w:numPr>
        <w:autoSpaceDE w:val="0"/>
        <w:autoSpaceDN w:val="0"/>
        <w:adjustRightInd w:val="0"/>
        <w:spacing w:after="74"/>
        <w:jc w:val="left"/>
        <w:rPr>
          <w:rFonts w:eastAsia="Arial" w:cs="Times New Roman"/>
          <w:lang w:eastAsia="en-GB"/>
        </w:rPr>
      </w:pPr>
      <w:r w:rsidRPr="00F71C4B">
        <w:rPr>
          <w:rFonts w:eastAsia="Arial" w:cs="Times New Roman"/>
          <w:lang w:eastAsia="en-GB"/>
        </w:rPr>
        <w:t xml:space="preserve">Capital loans; </w:t>
      </w:r>
    </w:p>
    <w:p w14:paraId="041D8701" w14:textId="72B9CE2A" w:rsidR="004C3A27" w:rsidRPr="00F71C4B" w:rsidRDefault="004C3A27" w:rsidP="004C3A27">
      <w:pPr>
        <w:pStyle w:val="ListParagraph"/>
        <w:numPr>
          <w:ilvl w:val="0"/>
          <w:numId w:val="27"/>
        </w:numPr>
        <w:autoSpaceDE w:val="0"/>
        <w:autoSpaceDN w:val="0"/>
        <w:adjustRightInd w:val="0"/>
        <w:spacing w:after="74"/>
        <w:jc w:val="left"/>
        <w:rPr>
          <w:rFonts w:eastAsia="Arial" w:cs="Times New Roman"/>
          <w:lang w:eastAsia="en-GB"/>
        </w:rPr>
      </w:pPr>
      <w:r w:rsidRPr="00F71C4B">
        <w:rPr>
          <w:rFonts w:eastAsia="Arial" w:cs="Times New Roman"/>
          <w:lang w:eastAsia="en-GB"/>
        </w:rPr>
        <w:t>Support for or lobbying on behalf of political part</w:t>
      </w:r>
      <w:r w:rsidR="00555185">
        <w:rPr>
          <w:rFonts w:eastAsia="Arial" w:cs="Times New Roman"/>
          <w:lang w:eastAsia="en-GB"/>
        </w:rPr>
        <w:t>ies</w:t>
      </w:r>
      <w:r w:rsidRPr="00F71C4B">
        <w:rPr>
          <w:rFonts w:eastAsia="Arial" w:cs="Times New Roman"/>
          <w:lang w:eastAsia="en-GB"/>
        </w:rPr>
        <w:t xml:space="preserve">; </w:t>
      </w:r>
    </w:p>
    <w:p w14:paraId="7BD0F6D2" w14:textId="77777777" w:rsidR="004C3A27" w:rsidRPr="00F71C4B" w:rsidRDefault="004C3A27" w:rsidP="004C3A27">
      <w:pPr>
        <w:pStyle w:val="ListParagraph"/>
        <w:numPr>
          <w:ilvl w:val="0"/>
          <w:numId w:val="27"/>
        </w:numPr>
        <w:autoSpaceDE w:val="0"/>
        <w:autoSpaceDN w:val="0"/>
        <w:adjustRightInd w:val="0"/>
        <w:spacing w:after="74"/>
        <w:jc w:val="left"/>
        <w:rPr>
          <w:rFonts w:eastAsia="Arial" w:cs="Times New Roman"/>
          <w:lang w:eastAsia="en-GB"/>
        </w:rPr>
      </w:pPr>
      <w:r w:rsidRPr="00F71C4B">
        <w:rPr>
          <w:rFonts w:eastAsia="Arial" w:cs="Times New Roman"/>
          <w:lang w:eastAsia="en-GB"/>
        </w:rPr>
        <w:t xml:space="preserve">Religious activities </w:t>
      </w:r>
    </w:p>
    <w:p w14:paraId="1A99BEBE" w14:textId="77777777" w:rsidR="004C3A27" w:rsidRPr="00F71C4B" w:rsidRDefault="004C3A27" w:rsidP="004C3A27">
      <w:pPr>
        <w:pStyle w:val="ListParagraph"/>
        <w:numPr>
          <w:ilvl w:val="0"/>
          <w:numId w:val="27"/>
        </w:numPr>
        <w:autoSpaceDE w:val="0"/>
        <w:autoSpaceDN w:val="0"/>
        <w:adjustRightInd w:val="0"/>
        <w:spacing w:after="74"/>
        <w:jc w:val="left"/>
        <w:rPr>
          <w:rFonts w:eastAsia="Arial" w:cs="Times New Roman"/>
          <w:lang w:eastAsia="en-GB"/>
        </w:rPr>
      </w:pPr>
      <w:r w:rsidRPr="00F71C4B">
        <w:rPr>
          <w:rFonts w:eastAsia="Arial" w:cs="Times New Roman"/>
          <w:color w:val="auto"/>
          <w:lang w:eastAsia="en-GB"/>
        </w:rPr>
        <w:t xml:space="preserve">Support of police or military </w:t>
      </w:r>
    </w:p>
    <w:p w14:paraId="1B73636A" w14:textId="34B98FFB" w:rsidR="004C3A27" w:rsidRDefault="004C3A27" w:rsidP="00564FDE">
      <w:pPr>
        <w:spacing w:after="0" w:line="276" w:lineRule="auto"/>
        <w:rPr>
          <w:rFonts w:eastAsiaTheme="minorHAnsi"/>
        </w:rPr>
      </w:pPr>
    </w:p>
    <w:p w14:paraId="232C7DFE" w14:textId="3FAFF905" w:rsidR="00564FDE" w:rsidRPr="00765DCA" w:rsidRDefault="00564FDE" w:rsidP="00564FDE">
      <w:pPr>
        <w:spacing w:after="0" w:line="276" w:lineRule="auto"/>
        <w:rPr>
          <w:rFonts w:eastAsiaTheme="minorHAnsi"/>
        </w:rPr>
      </w:pPr>
      <w:r w:rsidRPr="00765DCA">
        <w:rPr>
          <w:rFonts w:eastAsiaTheme="minorHAnsi"/>
        </w:rPr>
        <w:t xml:space="preserve">Anchor firms will be required to provide 50 percent co-investment (cost-share) in the activity supported to demonstrate full collaboration and commitment.  Of this </w:t>
      </w:r>
      <w:r w:rsidR="00247039" w:rsidRPr="00765DCA">
        <w:rPr>
          <w:rFonts w:eastAsiaTheme="minorHAnsi"/>
        </w:rPr>
        <w:t>amount, at</w:t>
      </w:r>
      <w:r w:rsidRPr="00765DCA">
        <w:rPr>
          <w:rFonts w:eastAsiaTheme="minorHAnsi"/>
        </w:rPr>
        <w:t xml:space="preserve"> least 25 percent should be direct financial contribution and the remaining 25 percent can be in-kind. Third party contributions are accepted</w:t>
      </w:r>
      <w:r w:rsidR="00C568A1">
        <w:rPr>
          <w:rFonts w:eastAsiaTheme="minorHAnsi"/>
        </w:rPr>
        <w:t>.</w:t>
      </w:r>
    </w:p>
    <w:p w14:paraId="7CEA312B" w14:textId="77777777" w:rsidR="00564FDE" w:rsidRDefault="00564FDE" w:rsidP="00564FDE">
      <w:pPr>
        <w:shd w:val="clear" w:color="auto" w:fill="FFFFFF"/>
        <w:spacing w:after="0" w:line="276" w:lineRule="auto"/>
        <w:ind w:right="173"/>
        <w:rPr>
          <w:rFonts w:eastAsia="Times New Roman" w:cs="Arial"/>
          <w:lang w:eastAsia="mk-MK"/>
        </w:rPr>
      </w:pPr>
    </w:p>
    <w:p w14:paraId="3F6D2BCB" w14:textId="6DDC16D7" w:rsidR="00564FDE" w:rsidRPr="00321987" w:rsidRDefault="00564FDE" w:rsidP="00564FDE">
      <w:pPr>
        <w:spacing w:after="0" w:line="276" w:lineRule="auto"/>
        <w:jc w:val="left"/>
        <w:rPr>
          <w:rFonts w:eastAsiaTheme="minorHAnsi"/>
          <w:lang w:val="en-GB"/>
        </w:rPr>
      </w:pPr>
      <w:r w:rsidRPr="00321987">
        <w:rPr>
          <w:rFonts w:eastAsiaTheme="minorHAnsi"/>
          <w:lang w:val="en-GB"/>
        </w:rPr>
        <w:t xml:space="preserve">Through </w:t>
      </w:r>
      <w:r>
        <w:rPr>
          <w:rFonts w:eastAsiaTheme="minorHAnsi"/>
          <w:lang w:val="en-GB"/>
        </w:rPr>
        <w:t xml:space="preserve">IME’s </w:t>
      </w:r>
      <w:r w:rsidRPr="00321987">
        <w:rPr>
          <w:rFonts w:eastAsiaTheme="minorHAnsi"/>
          <w:lang w:val="en-GB"/>
        </w:rPr>
        <w:t>monitoring and results management system</w:t>
      </w:r>
      <w:r>
        <w:rPr>
          <w:rFonts w:eastAsiaTheme="minorHAnsi"/>
          <w:lang w:val="en-GB"/>
        </w:rPr>
        <w:t>,</w:t>
      </w:r>
      <w:r w:rsidRPr="00321987">
        <w:rPr>
          <w:rFonts w:eastAsiaTheme="minorHAnsi"/>
          <w:lang w:val="en-GB"/>
        </w:rPr>
        <w:t xml:space="preserve"> IME will regularly review whether </w:t>
      </w:r>
      <w:r>
        <w:rPr>
          <w:rFonts w:eastAsiaTheme="minorHAnsi"/>
          <w:lang w:val="en-GB"/>
        </w:rPr>
        <w:t>anchor firms</w:t>
      </w:r>
      <w:r w:rsidRPr="00321987">
        <w:rPr>
          <w:rFonts w:eastAsiaTheme="minorHAnsi"/>
          <w:lang w:val="en-GB"/>
        </w:rPr>
        <w:t xml:space="preserve"> are addressing market failures in a sustainable way.  </w:t>
      </w:r>
      <w:r>
        <w:rPr>
          <w:rFonts w:eastAsiaTheme="minorHAnsi"/>
          <w:lang w:val="en-GB"/>
        </w:rPr>
        <w:t xml:space="preserve">Contracts </w:t>
      </w:r>
      <w:r w:rsidRPr="00321987">
        <w:rPr>
          <w:rFonts w:eastAsiaTheme="minorHAnsi"/>
          <w:lang w:val="en-GB"/>
        </w:rPr>
        <w:t xml:space="preserve">will have milestones and in cases where the IME team assesses that </w:t>
      </w:r>
      <w:r>
        <w:rPr>
          <w:rFonts w:eastAsiaTheme="minorHAnsi"/>
          <w:lang w:val="en-GB"/>
        </w:rPr>
        <w:t>contracts</w:t>
      </w:r>
      <w:r w:rsidRPr="00321987">
        <w:rPr>
          <w:rFonts w:eastAsiaTheme="minorHAnsi"/>
          <w:lang w:val="en-GB"/>
        </w:rPr>
        <w:t xml:space="preserve"> are not progressing as intended, they will be amended or even cancelled.</w:t>
      </w:r>
    </w:p>
    <w:p w14:paraId="5A35D73F" w14:textId="77777777" w:rsidR="00564FDE" w:rsidRDefault="00564FDE" w:rsidP="00564FDE">
      <w:pPr>
        <w:spacing w:after="0" w:line="276" w:lineRule="auto"/>
        <w:jc w:val="left"/>
        <w:rPr>
          <w:rFonts w:eastAsiaTheme="minorHAnsi"/>
          <w:lang w:val="en-GB"/>
        </w:rPr>
      </w:pPr>
    </w:p>
    <w:p w14:paraId="5E8F772F" w14:textId="77777777" w:rsidR="00564FDE" w:rsidRDefault="00564FDE" w:rsidP="00564FDE">
      <w:pPr>
        <w:spacing w:after="0" w:line="276" w:lineRule="auto"/>
        <w:jc w:val="left"/>
        <w:rPr>
          <w:rFonts w:eastAsiaTheme="minorHAnsi"/>
          <w:lang w:val="en-GB"/>
        </w:rPr>
      </w:pPr>
      <w:r w:rsidRPr="00321987">
        <w:rPr>
          <w:rFonts w:eastAsiaTheme="minorHAnsi"/>
          <w:lang w:val="en-GB"/>
        </w:rPr>
        <w:t xml:space="preserve">Applicants will need to demonstrate that the activity could not have occurred without support from IME.  </w:t>
      </w:r>
    </w:p>
    <w:p w14:paraId="40DC241C" w14:textId="77777777" w:rsidR="00564FDE" w:rsidRPr="00321987" w:rsidRDefault="00564FDE" w:rsidP="00564FDE">
      <w:pPr>
        <w:spacing w:after="0" w:line="276" w:lineRule="auto"/>
        <w:jc w:val="left"/>
        <w:rPr>
          <w:rFonts w:eastAsiaTheme="minorHAnsi"/>
          <w:lang w:val="en-GB"/>
        </w:rPr>
      </w:pPr>
    </w:p>
    <w:p w14:paraId="78DE10CA" w14:textId="77777777" w:rsidR="00564FDE" w:rsidRPr="00321987" w:rsidRDefault="00564FDE" w:rsidP="00564FDE">
      <w:pPr>
        <w:spacing w:after="0" w:line="276" w:lineRule="auto"/>
        <w:jc w:val="left"/>
        <w:rPr>
          <w:rFonts w:eastAsiaTheme="minorHAnsi"/>
          <w:lang w:val="en-GB"/>
        </w:rPr>
      </w:pPr>
      <w:r w:rsidRPr="00321987">
        <w:rPr>
          <w:rFonts w:eastAsiaTheme="minorHAnsi"/>
          <w:lang w:val="en-GB"/>
        </w:rPr>
        <w:t>All applicants will complete a pre-award survey to ensure that companies are reputable.  This will include checking on the background of companies and owners.</w:t>
      </w:r>
    </w:p>
    <w:p w14:paraId="4736877A" w14:textId="77777777" w:rsidR="00564FDE" w:rsidRPr="00321987" w:rsidRDefault="00564FDE" w:rsidP="00564FDE">
      <w:pPr>
        <w:spacing w:after="0" w:line="276" w:lineRule="auto"/>
        <w:jc w:val="left"/>
        <w:rPr>
          <w:rFonts w:eastAsia="Times New Roman" w:cs="Arial"/>
          <w:lang w:eastAsia="mk-MK"/>
        </w:rPr>
      </w:pPr>
    </w:p>
    <w:p w14:paraId="59313876" w14:textId="737F1DEB" w:rsidR="005D27B5" w:rsidRPr="00321987" w:rsidRDefault="005D27B5" w:rsidP="00321987">
      <w:pPr>
        <w:pStyle w:val="Heading1"/>
        <w:spacing w:before="0" w:line="276" w:lineRule="auto"/>
        <w:rPr>
          <w:rFonts w:ascii="Gill Sans MT" w:eastAsia="Times New Roman" w:hAnsi="Gill Sans MT"/>
          <w:sz w:val="22"/>
          <w:szCs w:val="22"/>
          <w:lang w:eastAsia="mk-MK"/>
        </w:rPr>
      </w:pPr>
      <w:r w:rsidRPr="00321987">
        <w:rPr>
          <w:rFonts w:ascii="Gill Sans MT" w:eastAsia="Times New Roman" w:hAnsi="Gill Sans MT"/>
          <w:sz w:val="22"/>
          <w:szCs w:val="22"/>
          <w:lang w:eastAsia="mk-MK"/>
        </w:rPr>
        <w:t>Award Information</w:t>
      </w:r>
    </w:p>
    <w:p w14:paraId="2CF056AA" w14:textId="71F134DD" w:rsidR="00445E2E" w:rsidRDefault="00445E2E" w:rsidP="00321987">
      <w:pPr>
        <w:shd w:val="clear" w:color="auto" w:fill="FFFFFF"/>
        <w:spacing w:after="0" w:line="276" w:lineRule="auto"/>
        <w:ind w:right="173"/>
        <w:rPr>
          <w:rFonts w:eastAsia="Times New Roman" w:cs="Arial"/>
          <w:lang w:eastAsia="mk-MK"/>
        </w:rPr>
      </w:pPr>
      <w:r w:rsidRPr="00321987">
        <w:rPr>
          <w:rFonts w:eastAsiaTheme="minorHAnsi"/>
          <w:lang w:val="en-GB"/>
        </w:rPr>
        <w:t>S</w:t>
      </w:r>
      <w:proofErr w:type="spellStart"/>
      <w:r w:rsidRPr="00321987">
        <w:rPr>
          <w:rFonts w:eastAsia="Times New Roman" w:cs="Arial"/>
          <w:lang w:eastAsia="mk-MK"/>
        </w:rPr>
        <w:t>ubject</w:t>
      </w:r>
      <w:proofErr w:type="spellEnd"/>
      <w:r w:rsidRPr="00321987">
        <w:rPr>
          <w:rFonts w:eastAsia="Times New Roman" w:cs="Arial"/>
          <w:lang w:eastAsia="mk-MK"/>
        </w:rPr>
        <w:t xml:space="preserve"> to the availability of funds</w:t>
      </w:r>
      <w:r w:rsidRPr="00321987">
        <w:rPr>
          <w:rFonts w:eastAsiaTheme="minorHAnsi"/>
          <w:lang w:val="en-GB"/>
        </w:rPr>
        <w:t>, t</w:t>
      </w:r>
      <w:r w:rsidR="005D27B5" w:rsidRPr="00321987">
        <w:rPr>
          <w:rFonts w:eastAsiaTheme="minorHAnsi"/>
          <w:lang w:val="en-GB"/>
        </w:rPr>
        <w:t xml:space="preserve">he range for opportunity fund </w:t>
      </w:r>
      <w:r w:rsidR="00612280">
        <w:rPr>
          <w:rFonts w:eastAsiaTheme="minorHAnsi"/>
          <w:lang w:val="en-GB"/>
        </w:rPr>
        <w:t>contract</w:t>
      </w:r>
      <w:r w:rsidR="005D27B5" w:rsidRPr="00321987">
        <w:rPr>
          <w:rFonts w:eastAsiaTheme="minorHAnsi"/>
          <w:lang w:val="en-GB"/>
        </w:rPr>
        <w:t xml:space="preserve">s will be from </w:t>
      </w:r>
      <w:r w:rsidR="005D27B5" w:rsidRPr="00321987">
        <w:rPr>
          <w:rFonts w:eastAsiaTheme="minorHAnsi"/>
          <w:b/>
          <w:lang w:val="en-GB"/>
        </w:rPr>
        <w:t xml:space="preserve">CHF 5,000 to </w:t>
      </w:r>
      <w:r w:rsidR="00415A36">
        <w:rPr>
          <w:rFonts w:eastAsiaTheme="minorHAnsi"/>
          <w:b/>
          <w:lang w:val="en-GB"/>
        </w:rPr>
        <w:t>20</w:t>
      </w:r>
      <w:r w:rsidR="005D27B5" w:rsidRPr="00321987">
        <w:rPr>
          <w:rFonts w:eastAsiaTheme="minorHAnsi"/>
          <w:b/>
          <w:lang w:val="en-GB"/>
        </w:rPr>
        <w:t>,000</w:t>
      </w:r>
      <w:r w:rsidR="005D27B5" w:rsidRPr="00321987">
        <w:rPr>
          <w:rFonts w:eastAsiaTheme="minorHAnsi"/>
          <w:lang w:val="en-GB"/>
        </w:rPr>
        <w:t xml:space="preserve"> </w:t>
      </w:r>
      <w:r w:rsidRPr="00321987">
        <w:rPr>
          <w:rFonts w:eastAsiaTheme="minorHAnsi"/>
          <w:lang w:val="en-GB"/>
        </w:rPr>
        <w:t>(</w:t>
      </w:r>
      <w:r w:rsidRPr="00321987">
        <w:rPr>
          <w:rFonts w:eastAsia="Times New Roman" w:cs="Arial"/>
          <w:lang w:eastAsia="mk-MK"/>
        </w:rPr>
        <w:t xml:space="preserve">payable in Macedonian </w:t>
      </w:r>
      <w:proofErr w:type="spellStart"/>
      <w:r w:rsidRPr="00321987">
        <w:rPr>
          <w:rFonts w:eastAsia="Times New Roman" w:cs="Arial"/>
          <w:lang w:eastAsia="mk-MK"/>
        </w:rPr>
        <w:t>denars</w:t>
      </w:r>
      <w:proofErr w:type="spellEnd"/>
      <w:r w:rsidRPr="00321987">
        <w:rPr>
          <w:rFonts w:eastAsia="Times New Roman" w:cs="Arial"/>
          <w:lang w:eastAsia="mk-MK"/>
        </w:rPr>
        <w:t xml:space="preserve">). </w:t>
      </w:r>
      <w:r w:rsidR="005D27B5" w:rsidRPr="00321987">
        <w:rPr>
          <w:rFonts w:eastAsia="Times New Roman" w:cs="Arial"/>
          <w:lang w:eastAsia="mk-MK"/>
        </w:rPr>
        <w:t xml:space="preserve"> </w:t>
      </w:r>
      <w:r w:rsidRPr="00321987">
        <w:rPr>
          <w:rFonts w:eastAsia="Times New Roman" w:cs="Arial"/>
          <w:lang w:eastAsia="mk-MK"/>
        </w:rPr>
        <w:t>A</w:t>
      </w:r>
      <w:r w:rsidR="005D27B5" w:rsidRPr="00321987">
        <w:rPr>
          <w:rFonts w:eastAsia="Times New Roman" w:cs="Arial"/>
          <w:lang w:eastAsia="mk-MK"/>
        </w:rPr>
        <w:t xml:space="preserve">nticipated period of performance of the </w:t>
      </w:r>
      <w:r w:rsidRPr="00321987">
        <w:rPr>
          <w:rFonts w:eastAsia="Times New Roman" w:cs="Arial"/>
          <w:lang w:eastAsia="mk-MK"/>
        </w:rPr>
        <w:t xml:space="preserve">opportunity fund </w:t>
      </w:r>
      <w:r w:rsidR="005D27B5" w:rsidRPr="00321987">
        <w:rPr>
          <w:rFonts w:eastAsia="Times New Roman" w:cs="Arial"/>
          <w:lang w:eastAsia="mk-MK"/>
        </w:rPr>
        <w:t xml:space="preserve">is expected to start in </w:t>
      </w:r>
      <w:r w:rsidRPr="00321987">
        <w:rPr>
          <w:rFonts w:eastAsia="Times New Roman" w:cs="Arial"/>
          <w:lang w:eastAsia="mk-MK"/>
        </w:rPr>
        <w:t xml:space="preserve">October </w:t>
      </w:r>
      <w:r w:rsidR="005D27B5" w:rsidRPr="00321987">
        <w:rPr>
          <w:rFonts w:eastAsia="Times New Roman" w:cs="Arial"/>
          <w:lang w:eastAsia="mk-MK"/>
        </w:rPr>
        <w:t>201</w:t>
      </w:r>
      <w:r w:rsidRPr="00321987">
        <w:rPr>
          <w:rFonts w:eastAsia="Times New Roman" w:cs="Arial"/>
          <w:lang w:eastAsia="mk-MK"/>
        </w:rPr>
        <w:t>9</w:t>
      </w:r>
      <w:r w:rsidR="005D27B5" w:rsidRPr="00321987">
        <w:rPr>
          <w:rFonts w:eastAsia="Times New Roman" w:cs="Arial"/>
          <w:lang w:eastAsia="mk-MK"/>
        </w:rPr>
        <w:t xml:space="preserve">. </w:t>
      </w:r>
      <w:r w:rsidRPr="00321987">
        <w:rPr>
          <w:rFonts w:eastAsia="Times New Roman" w:cs="Arial"/>
          <w:lang w:eastAsia="mk-MK"/>
        </w:rPr>
        <w:t>A</w:t>
      </w:r>
      <w:r w:rsidR="005D27B5" w:rsidRPr="00321987">
        <w:rPr>
          <w:rFonts w:eastAsia="Times New Roman" w:cs="Arial"/>
          <w:lang w:eastAsia="mk-MK"/>
        </w:rPr>
        <w:t xml:space="preserve">ll payments will be a fixed-sum payable upon completion of deliverables, which will be defined in detail during </w:t>
      </w:r>
      <w:r w:rsidR="00C43AB0">
        <w:rPr>
          <w:rFonts w:eastAsia="Times New Roman" w:cs="Arial"/>
          <w:lang w:eastAsia="mk-MK"/>
        </w:rPr>
        <w:t>contract</w:t>
      </w:r>
      <w:r w:rsidR="005D27B5" w:rsidRPr="00321987">
        <w:rPr>
          <w:rFonts w:eastAsia="Times New Roman" w:cs="Arial"/>
          <w:lang w:eastAsia="mk-MK"/>
        </w:rPr>
        <w:t xml:space="preserve"> negotiations.</w:t>
      </w:r>
      <w:r w:rsidRPr="00321987">
        <w:rPr>
          <w:rFonts w:eastAsia="Times New Roman" w:cs="Arial"/>
          <w:lang w:eastAsia="mk-MK"/>
        </w:rPr>
        <w:t xml:space="preserve"> </w:t>
      </w:r>
    </w:p>
    <w:p w14:paraId="7AA176C7" w14:textId="77777777" w:rsidR="00765DCA" w:rsidRPr="00321987" w:rsidRDefault="00765DCA" w:rsidP="00321987">
      <w:pPr>
        <w:shd w:val="clear" w:color="auto" w:fill="FFFFFF"/>
        <w:spacing w:after="0" w:line="276" w:lineRule="auto"/>
        <w:ind w:right="173"/>
        <w:rPr>
          <w:rFonts w:eastAsia="Times New Roman" w:cs="Arial"/>
          <w:lang w:eastAsia="mk-MK"/>
        </w:rPr>
      </w:pPr>
    </w:p>
    <w:p w14:paraId="19333462" w14:textId="74BBBBF3" w:rsidR="00445E2E" w:rsidRDefault="00445E2E" w:rsidP="00321987">
      <w:pPr>
        <w:shd w:val="clear" w:color="auto" w:fill="FFFFFF"/>
        <w:spacing w:after="0" w:line="276" w:lineRule="auto"/>
        <w:ind w:right="173"/>
        <w:rPr>
          <w:rFonts w:eastAsia="Times New Roman" w:cs="Arial"/>
          <w:lang w:eastAsia="mk-MK"/>
        </w:rPr>
      </w:pPr>
      <w:r w:rsidRPr="00321987">
        <w:rPr>
          <w:rFonts w:eastAsia="Times New Roman" w:cs="Arial"/>
          <w:lang w:eastAsia="mk-MK"/>
        </w:rPr>
        <w:t>IME reserves the right to fund any or none of the applications submitted. Issuing this RFA does not constitute an award commitment on the part of IME, nor does it commit IME to pay for costs incurred in the preparation and submission of an application. Further, IME reserves the right to reject any or all applications received if such action</w:t>
      </w:r>
      <w:r w:rsidR="00555185">
        <w:rPr>
          <w:rFonts w:eastAsia="Times New Roman" w:cs="Arial"/>
          <w:lang w:eastAsia="mk-MK"/>
        </w:rPr>
        <w:t>s</w:t>
      </w:r>
      <w:r w:rsidRPr="00321987">
        <w:rPr>
          <w:rFonts w:eastAsia="Times New Roman" w:cs="Arial"/>
          <w:lang w:eastAsia="mk-MK"/>
        </w:rPr>
        <w:t xml:space="preserve"> are in the best interest of SDC and the Swiss Government. Applications are submitted at the risk of the Applicant; should circumstances prevent making an award, all preparation and submission costs are at the Applicant’s expense.</w:t>
      </w:r>
    </w:p>
    <w:p w14:paraId="6F9BDCA9" w14:textId="77777777" w:rsidR="00765DCA" w:rsidRDefault="00765DCA" w:rsidP="00321987">
      <w:pPr>
        <w:shd w:val="clear" w:color="auto" w:fill="FFFFFF"/>
        <w:spacing w:after="0" w:line="276" w:lineRule="auto"/>
        <w:ind w:right="173"/>
        <w:rPr>
          <w:rFonts w:eastAsia="Times New Roman" w:cs="Arial"/>
          <w:lang w:eastAsia="mk-MK"/>
        </w:rPr>
      </w:pPr>
    </w:p>
    <w:p w14:paraId="3766EF0A" w14:textId="7A879494" w:rsidR="00C0474C" w:rsidRDefault="00C0474C" w:rsidP="00321987">
      <w:pPr>
        <w:pStyle w:val="Heading1"/>
        <w:spacing w:before="0" w:line="276" w:lineRule="auto"/>
        <w:rPr>
          <w:rFonts w:ascii="Gill Sans MT" w:hAnsi="Gill Sans MT"/>
          <w:sz w:val="22"/>
          <w:szCs w:val="22"/>
        </w:rPr>
      </w:pPr>
      <w:r w:rsidRPr="00321987">
        <w:rPr>
          <w:rFonts w:ascii="Gill Sans MT" w:hAnsi="Gill Sans MT"/>
          <w:sz w:val="22"/>
          <w:szCs w:val="22"/>
        </w:rPr>
        <w:t>Eligibility Criteria</w:t>
      </w:r>
    </w:p>
    <w:p w14:paraId="555116FD" w14:textId="1883512F" w:rsidR="001656A6" w:rsidRDefault="00555185" w:rsidP="001656A6">
      <w:pPr>
        <w:pStyle w:val="Default"/>
        <w:rPr>
          <w:rFonts w:ascii="Gill Sans MT" w:hAnsi="Gill Sans MT"/>
          <w:sz w:val="22"/>
          <w:szCs w:val="22"/>
        </w:rPr>
      </w:pPr>
      <w:r>
        <w:rPr>
          <w:rFonts w:ascii="Gill Sans MT" w:hAnsi="Gill Sans MT"/>
          <w:sz w:val="22"/>
          <w:szCs w:val="22"/>
        </w:rPr>
        <w:t>A s</w:t>
      </w:r>
      <w:r w:rsidR="000B04B9" w:rsidRPr="001656A6">
        <w:rPr>
          <w:rFonts w:ascii="Gill Sans MT" w:hAnsi="Gill Sans MT"/>
          <w:sz w:val="22"/>
          <w:szCs w:val="22"/>
        </w:rPr>
        <w:t xml:space="preserve">ubcontract </w:t>
      </w:r>
      <w:r>
        <w:rPr>
          <w:rFonts w:ascii="Gill Sans MT" w:hAnsi="Gill Sans MT"/>
          <w:sz w:val="22"/>
          <w:szCs w:val="22"/>
        </w:rPr>
        <w:t xml:space="preserve">under the Opportunity Fund </w:t>
      </w:r>
      <w:r w:rsidR="000B04B9" w:rsidRPr="001656A6">
        <w:rPr>
          <w:rFonts w:ascii="Gill Sans MT" w:hAnsi="Gill Sans MT"/>
          <w:sz w:val="22"/>
          <w:szCs w:val="22"/>
        </w:rPr>
        <w:t>may be provided to</w:t>
      </w:r>
      <w:r w:rsidR="001656A6">
        <w:rPr>
          <w:rFonts w:ascii="Gill Sans MT" w:hAnsi="Gill Sans MT"/>
          <w:sz w:val="22"/>
          <w:szCs w:val="22"/>
        </w:rPr>
        <w:t>:</w:t>
      </w:r>
    </w:p>
    <w:p w14:paraId="6E18CB15" w14:textId="33BF9136" w:rsidR="001656A6" w:rsidRPr="00564FDE" w:rsidRDefault="001771B3" w:rsidP="001656A6">
      <w:pPr>
        <w:pStyle w:val="Default"/>
        <w:numPr>
          <w:ilvl w:val="0"/>
          <w:numId w:val="30"/>
        </w:numPr>
        <w:rPr>
          <w:rFonts w:ascii="Gill Sans MT" w:eastAsia="Times New Roman" w:hAnsi="Gill Sans MT"/>
          <w:color w:val="auto"/>
          <w:sz w:val="22"/>
          <w:szCs w:val="22"/>
        </w:rPr>
      </w:pPr>
      <w:r>
        <w:rPr>
          <w:rFonts w:ascii="Gill Sans MT" w:hAnsi="Gill Sans MT"/>
          <w:sz w:val="22"/>
          <w:szCs w:val="22"/>
        </w:rPr>
        <w:t>Private company</w:t>
      </w:r>
      <w:r w:rsidR="000B04B9" w:rsidRPr="001656A6">
        <w:rPr>
          <w:rFonts w:ascii="Gill Sans MT" w:hAnsi="Gill Sans MT"/>
          <w:sz w:val="22"/>
          <w:szCs w:val="22"/>
        </w:rPr>
        <w:t xml:space="preserve"> </w:t>
      </w:r>
      <w:r w:rsidR="001656A6" w:rsidRPr="001656A6">
        <w:rPr>
          <w:rFonts w:ascii="Gill Sans MT" w:eastAsia="Arial" w:hAnsi="Gill Sans MT" w:cs="Symbol"/>
          <w:sz w:val="22"/>
          <w:szCs w:val="22"/>
        </w:rPr>
        <w:t xml:space="preserve">registered </w:t>
      </w:r>
      <w:r>
        <w:rPr>
          <w:rFonts w:ascii="Gill Sans MT" w:eastAsia="Arial" w:hAnsi="Gill Sans MT" w:cs="Symbol"/>
          <w:sz w:val="22"/>
          <w:szCs w:val="22"/>
        </w:rPr>
        <w:t xml:space="preserve">as </w:t>
      </w:r>
      <w:r w:rsidR="001656A6" w:rsidRPr="001656A6">
        <w:rPr>
          <w:rFonts w:ascii="Gill Sans MT" w:eastAsia="Arial" w:hAnsi="Gill Sans MT" w:cs="Symbol"/>
          <w:sz w:val="22"/>
          <w:szCs w:val="22"/>
        </w:rPr>
        <w:t>legal entity in Macedonia at least one year prior to the submission</w:t>
      </w:r>
      <w:r w:rsidR="001656A6">
        <w:rPr>
          <w:rFonts w:ascii="Gill Sans MT" w:eastAsia="Arial" w:hAnsi="Gill Sans MT" w:cs="Symbol"/>
          <w:sz w:val="22"/>
          <w:szCs w:val="22"/>
        </w:rPr>
        <w:t xml:space="preserve"> </w:t>
      </w:r>
      <w:r w:rsidR="000B04B9" w:rsidRPr="001656A6">
        <w:rPr>
          <w:rFonts w:ascii="Gill Sans MT" w:hAnsi="Gill Sans MT"/>
          <w:sz w:val="22"/>
          <w:szCs w:val="22"/>
        </w:rPr>
        <w:t>and recognized under the laws of Republic of Macedonia</w:t>
      </w:r>
      <w:r w:rsidR="00564FDE">
        <w:rPr>
          <w:rFonts w:ascii="Gill Sans MT" w:hAnsi="Gill Sans MT"/>
          <w:sz w:val="22"/>
          <w:szCs w:val="22"/>
        </w:rPr>
        <w:t xml:space="preserve">.  </w:t>
      </w:r>
    </w:p>
    <w:p w14:paraId="36353E39" w14:textId="6D0EF43F" w:rsidR="00564FDE" w:rsidRPr="00564FDE" w:rsidRDefault="00564FDE" w:rsidP="001656A6">
      <w:pPr>
        <w:pStyle w:val="Default"/>
        <w:numPr>
          <w:ilvl w:val="0"/>
          <w:numId w:val="30"/>
        </w:numPr>
        <w:rPr>
          <w:rFonts w:ascii="Gill Sans MT" w:eastAsia="Times New Roman" w:hAnsi="Gill Sans MT"/>
          <w:color w:val="auto"/>
          <w:sz w:val="22"/>
          <w:szCs w:val="22"/>
        </w:rPr>
      </w:pPr>
      <w:r>
        <w:rPr>
          <w:rFonts w:ascii="Gill Sans MT" w:hAnsi="Gill Sans MT"/>
          <w:sz w:val="22"/>
          <w:szCs w:val="22"/>
        </w:rPr>
        <w:t xml:space="preserve">A non-governmental organization acting as a for-profit organization whereby the NGO earns </w:t>
      </w:r>
      <w:r w:rsidRPr="00564FDE">
        <w:rPr>
          <w:rFonts w:ascii="Gill Sans MT" w:hAnsi="Gill Sans MT"/>
          <w:sz w:val="22"/>
          <w:szCs w:val="22"/>
        </w:rPr>
        <w:t>revenues</w:t>
      </w:r>
    </w:p>
    <w:p w14:paraId="40A00595" w14:textId="12A1A237" w:rsidR="001656A6" w:rsidRPr="00C568A1" w:rsidRDefault="005F08B2" w:rsidP="001656A6">
      <w:pPr>
        <w:pStyle w:val="Default"/>
        <w:numPr>
          <w:ilvl w:val="0"/>
          <w:numId w:val="30"/>
        </w:numPr>
        <w:rPr>
          <w:rFonts w:ascii="Gill Sans MT" w:eastAsia="Times New Roman" w:hAnsi="Gill Sans MT"/>
          <w:color w:val="auto"/>
          <w:sz w:val="22"/>
          <w:szCs w:val="22"/>
        </w:rPr>
      </w:pPr>
      <w:r w:rsidRPr="00564FDE">
        <w:rPr>
          <w:rFonts w:ascii="Gill Sans MT" w:hAnsi="Gill Sans MT"/>
          <w:sz w:val="22"/>
          <w:szCs w:val="22"/>
        </w:rPr>
        <w:t>A</w:t>
      </w:r>
      <w:r w:rsidR="000B04B9" w:rsidRPr="00564FDE">
        <w:rPr>
          <w:rFonts w:ascii="Gill Sans MT" w:hAnsi="Gill Sans MT"/>
          <w:sz w:val="22"/>
          <w:szCs w:val="22"/>
        </w:rPr>
        <w:t xml:space="preserve"> group of firms </w:t>
      </w:r>
      <w:r w:rsidR="00AA5B78" w:rsidRPr="00564FDE">
        <w:rPr>
          <w:rFonts w:ascii="Gill Sans MT" w:hAnsi="Gill Sans MT"/>
          <w:sz w:val="22"/>
          <w:szCs w:val="22"/>
        </w:rPr>
        <w:t xml:space="preserve">organized in an alliance </w:t>
      </w:r>
      <w:r w:rsidRPr="00564FDE">
        <w:rPr>
          <w:rFonts w:ascii="Gill Sans MT" w:hAnsi="Gill Sans MT"/>
          <w:sz w:val="22"/>
          <w:szCs w:val="22"/>
        </w:rPr>
        <w:t>that</w:t>
      </w:r>
      <w:r w:rsidR="000B04B9" w:rsidRPr="00564FDE">
        <w:rPr>
          <w:rFonts w:ascii="Gill Sans MT" w:hAnsi="Gill Sans MT"/>
          <w:sz w:val="22"/>
          <w:szCs w:val="22"/>
        </w:rPr>
        <w:t xml:space="preserve"> act </w:t>
      </w:r>
      <w:r w:rsidRPr="00564FDE">
        <w:rPr>
          <w:rFonts w:ascii="Gill Sans MT" w:hAnsi="Gill Sans MT"/>
          <w:sz w:val="22"/>
          <w:szCs w:val="22"/>
        </w:rPr>
        <w:t xml:space="preserve">together </w:t>
      </w:r>
      <w:r w:rsidR="000B04B9" w:rsidRPr="00564FDE">
        <w:rPr>
          <w:rFonts w:ascii="Gill Sans MT" w:hAnsi="Gill Sans MT"/>
          <w:sz w:val="22"/>
          <w:szCs w:val="22"/>
        </w:rPr>
        <w:t xml:space="preserve">as an anchor </w:t>
      </w:r>
      <w:r w:rsidR="00A62F3A" w:rsidRPr="00564FDE">
        <w:rPr>
          <w:rFonts w:ascii="Gill Sans MT" w:hAnsi="Gill Sans MT"/>
          <w:sz w:val="22"/>
          <w:szCs w:val="22"/>
        </w:rPr>
        <w:t>firm</w:t>
      </w:r>
      <w:r w:rsidR="00A62F3A">
        <w:rPr>
          <w:rFonts w:ascii="Gill Sans MT" w:hAnsi="Gill Sans MT"/>
          <w:sz w:val="22"/>
          <w:szCs w:val="22"/>
        </w:rPr>
        <w:t xml:space="preserve"> and</w:t>
      </w:r>
      <w:r w:rsidR="00564FDE">
        <w:rPr>
          <w:rFonts w:ascii="Gill Sans MT" w:hAnsi="Gill Sans MT"/>
          <w:sz w:val="22"/>
          <w:szCs w:val="22"/>
        </w:rPr>
        <w:t xml:space="preserve"> agree that one of the firms will apply on behalf of the others.</w:t>
      </w:r>
      <w:r w:rsidR="000B04B9" w:rsidRPr="00564FDE">
        <w:rPr>
          <w:rFonts w:ascii="Gill Sans MT" w:hAnsi="Gill Sans MT"/>
          <w:sz w:val="22"/>
          <w:szCs w:val="22"/>
        </w:rPr>
        <w:t xml:space="preserve"> </w:t>
      </w:r>
    </w:p>
    <w:p w14:paraId="18B56FF9" w14:textId="77777777" w:rsidR="005F08B2" w:rsidRPr="00564FDE" w:rsidRDefault="005F08B2" w:rsidP="005F08B2">
      <w:pPr>
        <w:pStyle w:val="Default"/>
        <w:rPr>
          <w:rFonts w:ascii="Gill Sans MT" w:eastAsia="Times New Roman" w:hAnsi="Gill Sans MT"/>
          <w:color w:val="auto"/>
          <w:sz w:val="22"/>
          <w:szCs w:val="22"/>
        </w:rPr>
      </w:pPr>
    </w:p>
    <w:p w14:paraId="60FD1A23" w14:textId="1608E277" w:rsidR="000B04B9" w:rsidRDefault="00181032" w:rsidP="001656A6">
      <w:pPr>
        <w:pStyle w:val="Default"/>
        <w:rPr>
          <w:rFonts w:ascii="Gill Sans MT" w:eastAsia="Times New Roman" w:hAnsi="Gill Sans MT"/>
          <w:color w:val="auto"/>
          <w:sz w:val="22"/>
          <w:szCs w:val="22"/>
        </w:rPr>
      </w:pPr>
      <w:r>
        <w:rPr>
          <w:rFonts w:ascii="Gill Sans MT" w:hAnsi="Gill Sans MT"/>
          <w:sz w:val="22"/>
          <w:szCs w:val="22"/>
        </w:rPr>
        <w:t>Individuals, non-</w:t>
      </w:r>
      <w:r w:rsidR="00564FDE">
        <w:rPr>
          <w:rFonts w:ascii="Gill Sans MT" w:hAnsi="Gill Sans MT"/>
          <w:sz w:val="22"/>
          <w:szCs w:val="22"/>
        </w:rPr>
        <w:t>for-profit</w:t>
      </w:r>
      <w:r>
        <w:rPr>
          <w:rFonts w:ascii="Gill Sans MT" w:hAnsi="Gill Sans MT"/>
          <w:sz w:val="22"/>
          <w:szCs w:val="22"/>
        </w:rPr>
        <w:t xml:space="preserve"> organizations, p</w:t>
      </w:r>
      <w:r w:rsidR="000B04B9" w:rsidRPr="001656A6">
        <w:rPr>
          <w:rFonts w:ascii="Gill Sans MT" w:eastAsia="Times New Roman" w:hAnsi="Gill Sans MT"/>
          <w:color w:val="auto"/>
          <w:sz w:val="22"/>
          <w:szCs w:val="22"/>
        </w:rPr>
        <w:t xml:space="preserve">ublic or government institutions </w:t>
      </w:r>
      <w:r w:rsidR="001656A6" w:rsidRPr="001656A6">
        <w:rPr>
          <w:rFonts w:ascii="Gill Sans MT" w:eastAsia="Arial" w:hAnsi="Gill Sans MT" w:cs="Times New Roman"/>
          <w:sz w:val="22"/>
          <w:szCs w:val="22"/>
        </w:rPr>
        <w:t>or organization</w:t>
      </w:r>
      <w:r w:rsidR="001656A6">
        <w:rPr>
          <w:rFonts w:ascii="Gill Sans MT" w:eastAsia="Arial" w:hAnsi="Gill Sans MT" w:cs="Times New Roman"/>
          <w:sz w:val="22"/>
          <w:szCs w:val="22"/>
        </w:rPr>
        <w:t>s</w:t>
      </w:r>
      <w:r w:rsidR="001656A6" w:rsidRPr="001656A6">
        <w:rPr>
          <w:rFonts w:ascii="Gill Sans MT" w:eastAsia="Arial" w:hAnsi="Gill Sans MT" w:cs="Times New Roman"/>
          <w:sz w:val="22"/>
          <w:szCs w:val="22"/>
        </w:rPr>
        <w:t xml:space="preserve"> controlled by a government entity </w:t>
      </w:r>
      <w:r w:rsidR="001656A6" w:rsidRPr="001656A6">
        <w:rPr>
          <w:rFonts w:ascii="Gill Sans MT" w:eastAsia="Times New Roman" w:hAnsi="Gill Sans MT"/>
          <w:color w:val="auto"/>
          <w:sz w:val="22"/>
          <w:szCs w:val="22"/>
        </w:rPr>
        <w:t xml:space="preserve">will not be considered as eligible for opportunity fund </w:t>
      </w:r>
      <w:r w:rsidR="000E0E78">
        <w:rPr>
          <w:rFonts w:ascii="Gill Sans MT" w:eastAsia="Times New Roman" w:hAnsi="Gill Sans MT"/>
          <w:color w:val="auto"/>
          <w:sz w:val="22"/>
          <w:szCs w:val="22"/>
        </w:rPr>
        <w:t>agreement</w:t>
      </w:r>
      <w:r w:rsidR="001656A6" w:rsidRPr="001656A6">
        <w:rPr>
          <w:rFonts w:ascii="Gill Sans MT" w:eastAsia="Times New Roman" w:hAnsi="Gill Sans MT"/>
          <w:color w:val="auto"/>
          <w:sz w:val="22"/>
          <w:szCs w:val="22"/>
        </w:rPr>
        <w:t xml:space="preserve">. </w:t>
      </w:r>
      <w:r w:rsidR="00270769">
        <w:rPr>
          <w:rFonts w:ascii="Gill Sans MT" w:eastAsia="Times New Roman" w:hAnsi="Gill Sans MT"/>
          <w:color w:val="auto"/>
          <w:sz w:val="22"/>
          <w:szCs w:val="22"/>
        </w:rPr>
        <w:t xml:space="preserve">Additional qualifying criteria </w:t>
      </w:r>
      <w:r w:rsidR="00FB1754">
        <w:rPr>
          <w:rFonts w:ascii="Gill Sans MT" w:eastAsia="Times New Roman" w:hAnsi="Gill Sans MT"/>
          <w:color w:val="auto"/>
          <w:sz w:val="22"/>
          <w:szCs w:val="22"/>
        </w:rPr>
        <w:t>which the applicant must fulfill are below</w:t>
      </w:r>
      <w:r w:rsidR="00270769">
        <w:rPr>
          <w:rFonts w:ascii="Gill Sans MT" w:eastAsia="Times New Roman" w:hAnsi="Gill Sans MT"/>
          <w:color w:val="auto"/>
          <w:sz w:val="22"/>
          <w:szCs w:val="22"/>
        </w:rPr>
        <w:t>:</w:t>
      </w:r>
    </w:p>
    <w:p w14:paraId="6DE4B1EA" w14:textId="77777777" w:rsidR="00FB1754" w:rsidRDefault="00FB1754" w:rsidP="001656A6">
      <w:pPr>
        <w:pStyle w:val="Default"/>
        <w:rPr>
          <w:rFonts w:ascii="Gill Sans MT" w:eastAsia="Times New Roman" w:hAnsi="Gill Sans MT"/>
          <w:color w:val="auto"/>
          <w:sz w:val="22"/>
          <w:szCs w:val="22"/>
        </w:rPr>
      </w:pPr>
    </w:p>
    <w:p w14:paraId="4D6B7684" w14:textId="77777777" w:rsidR="00564FDE" w:rsidRDefault="00564FDE" w:rsidP="001656A6">
      <w:pPr>
        <w:pStyle w:val="Default"/>
        <w:rPr>
          <w:rFonts w:ascii="Gill Sans MT" w:eastAsia="Times New Roman" w:hAnsi="Gill Sans MT"/>
          <w:color w:val="auto"/>
          <w:sz w:val="22"/>
          <w:szCs w:val="22"/>
        </w:rPr>
      </w:pPr>
    </w:p>
    <w:tbl>
      <w:tblPr>
        <w:tblpPr w:leftFromText="180" w:rightFromText="180" w:vertAnchor="text" w:horzAnchor="margin" w:tblpY="11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995100" w:rsidRPr="00673D6F" w14:paraId="1F90F373" w14:textId="77777777" w:rsidTr="00C568A1">
        <w:trPr>
          <w:cantSplit/>
          <w:tblHeader/>
        </w:trPr>
        <w:tc>
          <w:tcPr>
            <w:tcW w:w="9355" w:type="dxa"/>
            <w:tcBorders>
              <w:top w:val="single" w:sz="4" w:space="0" w:color="auto"/>
              <w:left w:val="single" w:sz="4" w:space="0" w:color="auto"/>
              <w:bottom w:val="single" w:sz="4" w:space="0" w:color="auto"/>
              <w:right w:val="single" w:sz="4" w:space="0" w:color="auto"/>
            </w:tcBorders>
          </w:tcPr>
          <w:p w14:paraId="0871280A" w14:textId="7A00AD2F" w:rsidR="00995100" w:rsidRPr="00673D6F" w:rsidRDefault="00995100" w:rsidP="00270769">
            <w:pPr>
              <w:spacing w:after="0"/>
              <w:rPr>
                <w:rFonts w:eastAsia="Times New Roman" w:cs="Times New Roman"/>
                <w:b/>
                <w:color w:val="auto"/>
                <w:sz w:val="20"/>
                <w:szCs w:val="20"/>
              </w:rPr>
            </w:pPr>
            <w:r w:rsidRPr="00673D6F">
              <w:rPr>
                <w:rFonts w:eastAsia="Times New Roman"/>
                <w:b/>
                <w:color w:val="auto"/>
                <w:sz w:val="20"/>
                <w:szCs w:val="20"/>
              </w:rPr>
              <w:lastRenderedPageBreak/>
              <w:t>Qualifying criteria</w:t>
            </w:r>
          </w:p>
        </w:tc>
      </w:tr>
      <w:tr w:rsidR="00995100" w:rsidRPr="0085143D" w14:paraId="3A07C5FC" w14:textId="77777777" w:rsidTr="00C568A1">
        <w:trPr>
          <w:cantSplit/>
        </w:trPr>
        <w:tc>
          <w:tcPr>
            <w:tcW w:w="9355" w:type="dxa"/>
            <w:tcBorders>
              <w:top w:val="single" w:sz="4" w:space="0" w:color="auto"/>
            </w:tcBorders>
            <w:vAlign w:val="bottom"/>
          </w:tcPr>
          <w:p w14:paraId="16D84F0F" w14:textId="5412E6A5" w:rsidR="00995100" w:rsidRPr="00270769" w:rsidRDefault="00995100" w:rsidP="00270769">
            <w:pPr>
              <w:numPr>
                <w:ilvl w:val="0"/>
                <w:numId w:val="34"/>
              </w:numPr>
              <w:tabs>
                <w:tab w:val="num" w:pos="360"/>
              </w:tabs>
              <w:spacing w:after="0"/>
              <w:ind w:left="360"/>
              <w:jc w:val="left"/>
              <w:rPr>
                <w:rFonts w:eastAsia="Times New Roman" w:cs="Times New Roman"/>
                <w:color w:val="auto"/>
                <w:sz w:val="20"/>
                <w:szCs w:val="20"/>
              </w:rPr>
            </w:pPr>
            <w:r w:rsidRPr="00270769">
              <w:rPr>
                <w:rFonts w:eastAsia="Times New Roman" w:cs="Times New Roman"/>
                <w:color w:val="auto"/>
                <w:sz w:val="20"/>
                <w:szCs w:val="20"/>
              </w:rPr>
              <w:t>Involves one of the selected value chains: Adventure Tourism; ICT; Sustainable Agribusiness</w:t>
            </w:r>
            <w:r w:rsidR="00FB1754">
              <w:rPr>
                <w:rFonts w:eastAsia="Times New Roman" w:cs="Times New Roman"/>
                <w:color w:val="auto"/>
                <w:sz w:val="20"/>
                <w:szCs w:val="20"/>
              </w:rPr>
              <w:t xml:space="preserve"> (see Anchor Firm table for specific sectors)</w:t>
            </w:r>
          </w:p>
        </w:tc>
      </w:tr>
      <w:tr w:rsidR="00995100" w:rsidRPr="0085143D" w14:paraId="7BDB2307" w14:textId="77777777" w:rsidTr="00C568A1">
        <w:trPr>
          <w:cantSplit/>
        </w:trPr>
        <w:tc>
          <w:tcPr>
            <w:tcW w:w="9355" w:type="dxa"/>
            <w:vAlign w:val="bottom"/>
          </w:tcPr>
          <w:p w14:paraId="0609A617" w14:textId="5FE6A70F" w:rsidR="00995100" w:rsidRPr="00270769" w:rsidRDefault="00995100" w:rsidP="00270769">
            <w:pPr>
              <w:numPr>
                <w:ilvl w:val="0"/>
                <w:numId w:val="34"/>
              </w:numPr>
              <w:tabs>
                <w:tab w:val="num" w:pos="360"/>
              </w:tabs>
              <w:spacing w:after="0"/>
              <w:ind w:left="360"/>
              <w:jc w:val="left"/>
              <w:rPr>
                <w:rFonts w:eastAsia="Times New Roman" w:cs="Times New Roman"/>
                <w:color w:val="auto"/>
                <w:sz w:val="20"/>
                <w:szCs w:val="20"/>
              </w:rPr>
            </w:pPr>
            <w:r>
              <w:rPr>
                <w:rFonts w:eastAsia="Times New Roman" w:cs="Times New Roman"/>
                <w:color w:val="auto"/>
                <w:sz w:val="20"/>
                <w:szCs w:val="20"/>
              </w:rPr>
              <w:t xml:space="preserve">Applicant is committed to provide baseline data and fully disclose all financial and non-financial results </w:t>
            </w:r>
            <w:r w:rsidR="00555185">
              <w:rPr>
                <w:rFonts w:eastAsia="Times New Roman" w:cs="Times New Roman"/>
                <w:color w:val="auto"/>
                <w:sz w:val="20"/>
                <w:szCs w:val="20"/>
              </w:rPr>
              <w:t xml:space="preserve">derived </w:t>
            </w:r>
            <w:r>
              <w:rPr>
                <w:rFonts w:eastAsia="Times New Roman" w:cs="Times New Roman"/>
                <w:color w:val="auto"/>
                <w:sz w:val="20"/>
                <w:szCs w:val="20"/>
              </w:rPr>
              <w:t>from the IME supported investment</w:t>
            </w:r>
          </w:p>
        </w:tc>
      </w:tr>
      <w:tr w:rsidR="00995100" w:rsidRPr="0085143D" w14:paraId="7F73ED10" w14:textId="77777777" w:rsidTr="00C568A1">
        <w:trPr>
          <w:cantSplit/>
        </w:trPr>
        <w:tc>
          <w:tcPr>
            <w:tcW w:w="9355" w:type="dxa"/>
            <w:vAlign w:val="bottom"/>
          </w:tcPr>
          <w:p w14:paraId="0FF64333" w14:textId="7E625B9D" w:rsidR="00995100" w:rsidRDefault="00995100" w:rsidP="00270769">
            <w:pPr>
              <w:numPr>
                <w:ilvl w:val="0"/>
                <w:numId w:val="34"/>
              </w:numPr>
              <w:tabs>
                <w:tab w:val="num" w:pos="360"/>
              </w:tabs>
              <w:spacing w:after="0"/>
              <w:ind w:left="360"/>
              <w:jc w:val="left"/>
              <w:rPr>
                <w:rFonts w:eastAsia="Times New Roman" w:cs="Times New Roman"/>
                <w:color w:val="auto"/>
                <w:sz w:val="20"/>
                <w:szCs w:val="20"/>
              </w:rPr>
            </w:pPr>
            <w:r>
              <w:rPr>
                <w:rFonts w:eastAsia="Times New Roman" w:cs="Times New Roman"/>
                <w:color w:val="auto"/>
                <w:sz w:val="20"/>
                <w:szCs w:val="20"/>
              </w:rPr>
              <w:t>Verification that the investment would not have been made without IME support</w:t>
            </w:r>
            <w:r w:rsidR="00555185">
              <w:rPr>
                <w:rFonts w:eastAsia="Times New Roman" w:cs="Times New Roman"/>
                <w:color w:val="auto"/>
                <w:sz w:val="20"/>
                <w:szCs w:val="20"/>
              </w:rPr>
              <w:t>.</w:t>
            </w:r>
            <w:r>
              <w:rPr>
                <w:rFonts w:eastAsia="Times New Roman" w:cs="Times New Roman"/>
                <w:color w:val="auto"/>
                <w:sz w:val="20"/>
                <w:szCs w:val="20"/>
              </w:rPr>
              <w:t xml:space="preserve"> During the application phase, the applicant is encouraged to make an honest response to this question</w:t>
            </w:r>
          </w:p>
        </w:tc>
      </w:tr>
    </w:tbl>
    <w:p w14:paraId="6E00BF4D" w14:textId="77777777" w:rsidR="00270769" w:rsidRDefault="00270769" w:rsidP="001656A6">
      <w:pPr>
        <w:pStyle w:val="Default"/>
        <w:rPr>
          <w:rFonts w:ascii="Gill Sans MT" w:eastAsia="Times New Roman" w:hAnsi="Gill Sans MT"/>
          <w:color w:val="auto"/>
          <w:sz w:val="22"/>
          <w:szCs w:val="22"/>
        </w:rPr>
      </w:pPr>
    </w:p>
    <w:p w14:paraId="57726DC8" w14:textId="65741C6D" w:rsidR="00321987" w:rsidRPr="000E0E78" w:rsidRDefault="000E0E78" w:rsidP="00A62F3A">
      <w:pPr>
        <w:spacing w:after="0" w:line="276" w:lineRule="auto"/>
        <w:rPr>
          <w:rFonts w:eastAsiaTheme="minorHAnsi"/>
          <w:lang w:val="en-GB"/>
        </w:rPr>
      </w:pPr>
      <w:r w:rsidRPr="000E0E78">
        <w:rPr>
          <w:rFonts w:eastAsia="Arial" w:cs="Times New Roman"/>
          <w:lang w:eastAsia="en-GB"/>
        </w:rPr>
        <w:t xml:space="preserve">Applicants must comply with </w:t>
      </w:r>
      <w:r w:rsidRPr="00C568A1">
        <w:rPr>
          <w:rFonts w:eastAsia="Arial" w:cs="Times New Roman"/>
          <w:lang w:eastAsia="en-GB"/>
        </w:rPr>
        <w:t xml:space="preserve">all applicable SDC and Palladium rules and regulations (including procurement regulations, if applicable). </w:t>
      </w:r>
      <w:r w:rsidRPr="000E0E78">
        <w:rPr>
          <w:rFonts w:eastAsia="Times New Roman" w:cs="Arial"/>
          <w:lang w:eastAsia="mk-MK"/>
        </w:rPr>
        <w:t xml:space="preserve">Prior to the award of </w:t>
      </w:r>
      <w:r w:rsidR="00555185">
        <w:rPr>
          <w:rFonts w:eastAsia="Times New Roman" w:cs="Arial"/>
          <w:lang w:eastAsia="mk-MK"/>
        </w:rPr>
        <w:t>O</w:t>
      </w:r>
      <w:r w:rsidRPr="000E0E78">
        <w:rPr>
          <w:rFonts w:eastAsia="Times New Roman" w:cs="Arial"/>
          <w:lang w:eastAsia="mk-MK"/>
        </w:rPr>
        <w:t xml:space="preserve">pportunity </w:t>
      </w:r>
      <w:r w:rsidR="00A62F3A">
        <w:rPr>
          <w:rFonts w:eastAsia="Times New Roman" w:cs="Arial"/>
          <w:lang w:eastAsia="mk-MK"/>
        </w:rPr>
        <w:t>F</w:t>
      </w:r>
      <w:r w:rsidR="00A62F3A" w:rsidRPr="000E0E78">
        <w:rPr>
          <w:rFonts w:eastAsia="Times New Roman" w:cs="Arial"/>
          <w:lang w:eastAsia="mk-MK"/>
        </w:rPr>
        <w:t>und under</w:t>
      </w:r>
      <w:r w:rsidRPr="000E0E78">
        <w:rPr>
          <w:rFonts w:eastAsia="Times New Roman" w:cs="Arial"/>
          <w:lang w:eastAsia="mk-MK"/>
        </w:rPr>
        <w:t xml:space="preserve"> this RFA, successful Applicants should p</w:t>
      </w:r>
      <w:r w:rsidRPr="000E0E78">
        <w:rPr>
          <w:rFonts w:eastAsia="Times New Roman"/>
          <w:color w:val="auto"/>
        </w:rPr>
        <w:t>ass Palladium’s due diligence requirements</w:t>
      </w:r>
      <w:r w:rsidRPr="000E0E78">
        <w:rPr>
          <w:rFonts w:eastAsia="Times New Roman" w:cs="Arial"/>
          <w:lang w:eastAsia="mk-MK"/>
        </w:rPr>
        <w:t xml:space="preserve"> and will have to sign a set of documents to confirm full compliance with the SDC and Palladium internal procedures. The set of documents are </w:t>
      </w:r>
      <w:r w:rsidRPr="001D3FF8">
        <w:rPr>
          <w:rFonts w:eastAsia="Times New Roman" w:cs="Arial"/>
          <w:lang w:eastAsia="mk-MK"/>
        </w:rPr>
        <w:t>attached as Annex 2 of this RFA.</w:t>
      </w:r>
    </w:p>
    <w:p w14:paraId="6DE0B15C" w14:textId="77777777" w:rsidR="000E0E78" w:rsidRPr="000E0E78" w:rsidRDefault="000E0E78" w:rsidP="000E0E78">
      <w:pPr>
        <w:pStyle w:val="ListParagraph"/>
        <w:spacing w:after="0" w:line="276" w:lineRule="auto"/>
        <w:jc w:val="left"/>
        <w:rPr>
          <w:rFonts w:eastAsiaTheme="minorHAnsi"/>
          <w:lang w:val="en-GB"/>
        </w:rPr>
      </w:pPr>
    </w:p>
    <w:p w14:paraId="31344152" w14:textId="720C0576" w:rsidR="00A92983" w:rsidRPr="00321987" w:rsidRDefault="00A92983" w:rsidP="00321987">
      <w:pPr>
        <w:pStyle w:val="Heading1"/>
        <w:spacing w:before="0" w:line="276" w:lineRule="auto"/>
        <w:rPr>
          <w:rFonts w:ascii="Gill Sans MT" w:hAnsi="Gill Sans MT"/>
          <w:sz w:val="22"/>
          <w:szCs w:val="22"/>
        </w:rPr>
      </w:pPr>
      <w:r w:rsidRPr="00321987">
        <w:rPr>
          <w:rFonts w:ascii="Gill Sans MT" w:hAnsi="Gill Sans MT"/>
          <w:sz w:val="22"/>
          <w:szCs w:val="22"/>
        </w:rPr>
        <w:t>Application and Submission Information</w:t>
      </w:r>
    </w:p>
    <w:p w14:paraId="44141746" w14:textId="43F4CD6D" w:rsidR="004F0596" w:rsidRDefault="002837B6" w:rsidP="00321987">
      <w:pPr>
        <w:shd w:val="clear" w:color="auto" w:fill="FFFFFF"/>
        <w:spacing w:after="0" w:line="276" w:lineRule="auto"/>
        <w:ind w:right="173"/>
      </w:pPr>
      <w:r w:rsidRPr="00321987">
        <w:rPr>
          <w:rFonts w:eastAsia="Times New Roman" w:cs="Arial"/>
          <w:lang w:eastAsia="mk-MK"/>
        </w:rPr>
        <w:t xml:space="preserve">Applicants should submit applications electronically, via email to: </w:t>
      </w:r>
      <w:hyperlink r:id="rId8" w:history="1">
        <w:proofErr w:type="spellStart"/>
        <w:r w:rsidR="00A62F3A" w:rsidRPr="001D3FF8">
          <w:rPr>
            <w:rStyle w:val="Hyperlink"/>
            <w:rFonts w:eastAsia="Times New Roman" w:cs="Arial"/>
            <w:lang w:eastAsia="mk-MK"/>
          </w:rPr>
          <w:t>irena.bojadzieva</w:t>
        </w:r>
        <w:proofErr w:type="spellEnd"/>
        <w:r w:rsidR="00A62F3A" w:rsidRPr="001D3FF8">
          <w:rPr>
            <w:rStyle w:val="Hyperlink"/>
            <w:rFonts w:eastAsia="Times New Roman" w:cs="Arial"/>
            <w:lang w:eastAsia="mk-MK"/>
          </w:rPr>
          <w:t xml:space="preserve"> </w:t>
        </w:r>
        <w:r w:rsidR="00FF6A6B" w:rsidRPr="001D3FF8">
          <w:rPr>
            <w:rStyle w:val="Hyperlink"/>
            <w:rFonts w:eastAsia="Times New Roman" w:cs="Arial"/>
            <w:lang w:eastAsia="mk-MK"/>
          </w:rPr>
          <w:t>@thepalladiumgroup.com</w:t>
        </w:r>
      </w:hyperlink>
      <w:r w:rsidR="006319B2" w:rsidRPr="001D3FF8">
        <w:rPr>
          <w:rFonts w:eastAsia="Times New Roman" w:cs="Arial"/>
          <w:lang w:eastAsia="mk-MK"/>
        </w:rPr>
        <w:t>.</w:t>
      </w:r>
      <w:r w:rsidR="006319B2" w:rsidRPr="00321987">
        <w:rPr>
          <w:rFonts w:eastAsia="Times New Roman" w:cs="Arial"/>
          <w:lang w:eastAsia="mk-MK"/>
        </w:rPr>
        <w:t xml:space="preserve"> </w:t>
      </w:r>
      <w:r w:rsidR="00FF6A6B" w:rsidRPr="00321987">
        <w:t xml:space="preserve">The submission dates </w:t>
      </w:r>
      <w:r w:rsidR="004F0596">
        <w:t>are as follows</w:t>
      </w:r>
      <w:r w:rsidR="00FF6A6B" w:rsidRPr="00321987">
        <w:t xml:space="preserve">.  </w:t>
      </w:r>
    </w:p>
    <w:p w14:paraId="58A1F0BE" w14:textId="77777777" w:rsidR="004F0596" w:rsidRDefault="004F0596" w:rsidP="00321987">
      <w:pPr>
        <w:shd w:val="clear" w:color="auto" w:fill="FFFFFF"/>
        <w:spacing w:after="0" w:line="276" w:lineRule="auto"/>
        <w:ind w:right="173"/>
      </w:pPr>
    </w:p>
    <w:tbl>
      <w:tblPr>
        <w:tblStyle w:val="GridTable1Light"/>
        <w:tblW w:w="0" w:type="auto"/>
        <w:tblLook w:val="04A0" w:firstRow="1" w:lastRow="0" w:firstColumn="1" w:lastColumn="0" w:noHBand="0" w:noVBand="1"/>
      </w:tblPr>
      <w:tblGrid>
        <w:gridCol w:w="4814"/>
        <w:gridCol w:w="4814"/>
      </w:tblGrid>
      <w:tr w:rsidR="004F0596" w14:paraId="3CF50FAC" w14:textId="77777777" w:rsidTr="004F0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C7F7FD" w:themeFill="accent1" w:themeFillTint="33"/>
            <w:vAlign w:val="center"/>
          </w:tcPr>
          <w:p w14:paraId="598ACD5B" w14:textId="46FDC6FE" w:rsidR="004F0596" w:rsidRDefault="004F0596" w:rsidP="004F0596">
            <w:pPr>
              <w:spacing w:line="276" w:lineRule="auto"/>
              <w:ind w:right="173"/>
              <w:jc w:val="center"/>
            </w:pPr>
            <w:r>
              <w:t>Submission dates</w:t>
            </w:r>
          </w:p>
        </w:tc>
      </w:tr>
      <w:tr w:rsidR="004F0596" w14:paraId="4A2F7ED8" w14:textId="77777777" w:rsidTr="004F0596">
        <w:tc>
          <w:tcPr>
            <w:cnfStyle w:val="001000000000" w:firstRow="0" w:lastRow="0" w:firstColumn="1" w:lastColumn="0" w:oddVBand="0" w:evenVBand="0" w:oddHBand="0" w:evenHBand="0" w:firstRowFirstColumn="0" w:firstRowLastColumn="0" w:lastRowFirstColumn="0" w:lastRowLastColumn="0"/>
            <w:tcW w:w="4814" w:type="dxa"/>
          </w:tcPr>
          <w:p w14:paraId="20671DBE" w14:textId="7374AF84" w:rsidR="004F0596" w:rsidRPr="004F0596" w:rsidRDefault="004F0596" w:rsidP="00321987">
            <w:pPr>
              <w:spacing w:line="276" w:lineRule="auto"/>
              <w:ind w:right="173"/>
              <w:rPr>
                <w:b w:val="0"/>
              </w:rPr>
            </w:pPr>
            <w:r w:rsidRPr="004F0596">
              <w:rPr>
                <w:b w:val="0"/>
              </w:rPr>
              <w:t>First Submission</w:t>
            </w:r>
          </w:p>
        </w:tc>
        <w:tc>
          <w:tcPr>
            <w:tcW w:w="4814" w:type="dxa"/>
          </w:tcPr>
          <w:p w14:paraId="2EECB6D9" w14:textId="30BCC92B" w:rsidR="004F0596" w:rsidRPr="00FB1754" w:rsidRDefault="00C15BAD" w:rsidP="00321987">
            <w:pPr>
              <w:spacing w:line="276" w:lineRule="auto"/>
              <w:ind w:right="173"/>
              <w:cnfStyle w:val="000000000000" w:firstRow="0" w:lastRow="0" w:firstColumn="0" w:lastColumn="0" w:oddVBand="0" w:evenVBand="0" w:oddHBand="0" w:evenHBand="0" w:firstRowFirstColumn="0" w:firstRowLastColumn="0" w:lastRowFirstColumn="0" w:lastRowLastColumn="0"/>
            </w:pPr>
            <w:r w:rsidRPr="00FB1754">
              <w:t>10</w:t>
            </w:r>
            <w:r w:rsidR="00C44944" w:rsidRPr="00FB1754">
              <w:rPr>
                <w:vertAlign w:val="superscript"/>
              </w:rPr>
              <w:t>th</w:t>
            </w:r>
            <w:r w:rsidR="00C44944" w:rsidRPr="00FB1754">
              <w:t xml:space="preserve"> </w:t>
            </w:r>
            <w:r w:rsidRPr="00FB1754">
              <w:t>November 2019</w:t>
            </w:r>
          </w:p>
        </w:tc>
      </w:tr>
      <w:tr w:rsidR="004F0596" w14:paraId="13EA20D8" w14:textId="77777777" w:rsidTr="004F0596">
        <w:tc>
          <w:tcPr>
            <w:cnfStyle w:val="001000000000" w:firstRow="0" w:lastRow="0" w:firstColumn="1" w:lastColumn="0" w:oddVBand="0" w:evenVBand="0" w:oddHBand="0" w:evenHBand="0" w:firstRowFirstColumn="0" w:firstRowLastColumn="0" w:lastRowFirstColumn="0" w:lastRowLastColumn="0"/>
            <w:tcW w:w="4814" w:type="dxa"/>
          </w:tcPr>
          <w:p w14:paraId="1B220069" w14:textId="685DF6D1" w:rsidR="004F0596" w:rsidRPr="004F0596" w:rsidRDefault="004F0596" w:rsidP="00321987">
            <w:pPr>
              <w:spacing w:line="276" w:lineRule="auto"/>
              <w:ind w:right="173"/>
              <w:rPr>
                <w:b w:val="0"/>
              </w:rPr>
            </w:pPr>
            <w:r w:rsidRPr="004F0596">
              <w:rPr>
                <w:b w:val="0"/>
              </w:rPr>
              <w:t>Second Submission</w:t>
            </w:r>
          </w:p>
        </w:tc>
        <w:tc>
          <w:tcPr>
            <w:tcW w:w="4814" w:type="dxa"/>
          </w:tcPr>
          <w:p w14:paraId="02766AC1" w14:textId="550C62E8" w:rsidR="004F0596" w:rsidRPr="00FB1754" w:rsidRDefault="00C44944" w:rsidP="00321987">
            <w:pPr>
              <w:spacing w:line="276" w:lineRule="auto"/>
              <w:ind w:right="173"/>
              <w:cnfStyle w:val="000000000000" w:firstRow="0" w:lastRow="0" w:firstColumn="0" w:lastColumn="0" w:oddVBand="0" w:evenVBand="0" w:oddHBand="0" w:evenHBand="0" w:firstRowFirstColumn="0" w:firstRowLastColumn="0" w:lastRowFirstColumn="0" w:lastRowLastColumn="0"/>
            </w:pPr>
            <w:r w:rsidRPr="00FB1754">
              <w:t>10</w:t>
            </w:r>
            <w:r w:rsidRPr="00FB1754">
              <w:rPr>
                <w:vertAlign w:val="superscript"/>
              </w:rPr>
              <w:t>th</w:t>
            </w:r>
            <w:r w:rsidRPr="00FB1754">
              <w:t xml:space="preserve"> January 2020</w:t>
            </w:r>
          </w:p>
        </w:tc>
      </w:tr>
    </w:tbl>
    <w:p w14:paraId="502DEFE8" w14:textId="77777777" w:rsidR="004F0596" w:rsidRDefault="004F0596" w:rsidP="00321987">
      <w:pPr>
        <w:shd w:val="clear" w:color="auto" w:fill="FFFFFF"/>
        <w:spacing w:after="0" w:line="276" w:lineRule="auto"/>
        <w:ind w:right="173"/>
      </w:pPr>
    </w:p>
    <w:p w14:paraId="289F12B7" w14:textId="2A939079" w:rsidR="00FF6A6B" w:rsidRDefault="00FF6A6B" w:rsidP="00321987">
      <w:pPr>
        <w:shd w:val="clear" w:color="auto" w:fill="FFFFFF"/>
        <w:spacing w:after="0" w:line="276" w:lineRule="auto"/>
        <w:ind w:right="173"/>
        <w:rPr>
          <w:rFonts w:eastAsia="Times New Roman" w:cs="Arial"/>
          <w:color w:val="CC6666"/>
          <w:lang w:eastAsia="mk-MK"/>
        </w:rPr>
      </w:pPr>
      <w:r w:rsidRPr="00321987">
        <w:t xml:space="preserve">IME will review all </w:t>
      </w:r>
      <w:r w:rsidRPr="00321987">
        <w:rPr>
          <w:rFonts w:eastAsia="Times New Roman" w:cs="Arial"/>
          <w:lang w:eastAsia="mk-MK"/>
        </w:rPr>
        <w:t xml:space="preserve">received </w:t>
      </w:r>
      <w:r w:rsidRPr="00321987">
        <w:t xml:space="preserve">applications no later than </w:t>
      </w:r>
      <w:r w:rsidR="004F0596">
        <w:t xml:space="preserve">15 </w:t>
      </w:r>
      <w:r w:rsidR="00C15BAD">
        <w:t xml:space="preserve">working </w:t>
      </w:r>
      <w:r w:rsidRPr="00321987">
        <w:t>days from the submission date.</w:t>
      </w:r>
      <w:r w:rsidR="00D7550A" w:rsidRPr="00321987">
        <w:rPr>
          <w:rFonts w:eastAsia="Times New Roman" w:cs="Arial"/>
          <w:lang w:eastAsia="mk-MK"/>
        </w:rPr>
        <w:t xml:space="preserve"> Applicants should submit any questions concerning this RFA </w:t>
      </w:r>
      <w:r w:rsidR="00FB1754">
        <w:rPr>
          <w:rFonts w:eastAsia="Times New Roman" w:cs="Arial"/>
          <w:lang w:eastAsia="mk-MK"/>
        </w:rPr>
        <w:t xml:space="preserve">by </w:t>
      </w:r>
      <w:r w:rsidR="00D7550A" w:rsidRPr="00321987">
        <w:rPr>
          <w:rFonts w:eastAsia="Times New Roman" w:cs="Arial"/>
          <w:lang w:eastAsia="mk-MK"/>
        </w:rPr>
        <w:t>email</w:t>
      </w:r>
      <w:r w:rsidR="001D3FF8">
        <w:rPr>
          <w:rFonts w:eastAsia="Times New Roman" w:cs="Arial"/>
          <w:lang w:eastAsia="mk-MK"/>
        </w:rPr>
        <w:t xml:space="preserve"> to: </w:t>
      </w:r>
      <w:hyperlink r:id="rId9" w:history="1">
        <w:r w:rsidR="001D3FF8" w:rsidRPr="00C45017">
          <w:rPr>
            <w:rStyle w:val="Hyperlink"/>
            <w:rFonts w:eastAsia="Times New Roman" w:cs="Arial"/>
            <w:lang w:eastAsia="mk-MK"/>
          </w:rPr>
          <w:t>irena.bojadzieva@the</w:t>
        </w:r>
      </w:hyperlink>
      <w:r w:rsidR="001D3FF8">
        <w:rPr>
          <w:rFonts w:eastAsia="Times New Roman" w:cs="Arial"/>
          <w:lang w:eastAsia="mk-MK"/>
        </w:rPr>
        <w:t>palladiumgroup.com.</w:t>
      </w:r>
    </w:p>
    <w:p w14:paraId="1502A48F" w14:textId="77777777" w:rsidR="004C3A27" w:rsidRPr="00321987" w:rsidRDefault="004C3A27" w:rsidP="00321987">
      <w:pPr>
        <w:shd w:val="clear" w:color="auto" w:fill="FFFFFF"/>
        <w:spacing w:after="0" w:line="276" w:lineRule="auto"/>
        <w:ind w:right="173"/>
        <w:rPr>
          <w:rFonts w:eastAsia="Times New Roman" w:cs="Arial"/>
          <w:lang w:eastAsia="mk-MK"/>
        </w:rPr>
      </w:pPr>
    </w:p>
    <w:p w14:paraId="3FE04062" w14:textId="176A6805" w:rsidR="00D7550A" w:rsidRDefault="00FF6A6B" w:rsidP="00321987">
      <w:pPr>
        <w:shd w:val="clear" w:color="auto" w:fill="FFFFFF"/>
        <w:spacing w:after="0" w:line="276" w:lineRule="auto"/>
        <w:ind w:right="173"/>
        <w:rPr>
          <w:rFonts w:eastAsia="Times New Roman" w:cs="Arial"/>
          <w:lang w:eastAsia="mk-MK"/>
        </w:rPr>
      </w:pPr>
      <w:r w:rsidRPr="00321987">
        <w:rPr>
          <w:rFonts w:eastAsia="Times New Roman" w:cs="Arial"/>
          <w:lang w:eastAsia="mk-MK"/>
        </w:rPr>
        <w:t xml:space="preserve">All applications in response to this RFA shall consist of a technical proposal </w:t>
      </w:r>
      <w:r w:rsidR="00E34712" w:rsidRPr="00321987">
        <w:rPr>
          <w:rFonts w:eastAsia="Times New Roman" w:cs="Arial"/>
          <w:lang w:eastAsia="mk-MK"/>
        </w:rPr>
        <w:t>(</w:t>
      </w:r>
      <w:r w:rsidR="009322BB">
        <w:rPr>
          <w:rFonts w:eastAsia="Times New Roman" w:cs="Arial"/>
          <w:lang w:eastAsia="mk-MK"/>
        </w:rPr>
        <w:t>Concept Note</w:t>
      </w:r>
      <w:r w:rsidR="00E34712" w:rsidRPr="00321987">
        <w:rPr>
          <w:rFonts w:eastAsia="Times New Roman" w:cs="Arial"/>
          <w:lang w:eastAsia="mk-MK"/>
        </w:rPr>
        <w:t xml:space="preserve">) </w:t>
      </w:r>
      <w:r w:rsidRPr="00321987">
        <w:rPr>
          <w:rFonts w:eastAsia="Times New Roman" w:cs="Arial"/>
          <w:lang w:eastAsia="mk-MK"/>
        </w:rPr>
        <w:t xml:space="preserve">and a budget proposal. The technical proposal must be submitted in English. The cost proposal shall be submitted as a separate file from the technical proposal. Applicants are advised to fill in the budget form as detailed as possible. Lump sums will not be accepted. Applicants </w:t>
      </w:r>
      <w:proofErr w:type="gramStart"/>
      <w:r w:rsidRPr="00321987">
        <w:rPr>
          <w:rFonts w:eastAsia="Times New Roman" w:cs="Arial"/>
          <w:lang w:eastAsia="mk-MK"/>
        </w:rPr>
        <w:t>are allowed to</w:t>
      </w:r>
      <w:proofErr w:type="gramEnd"/>
      <w:r w:rsidRPr="00321987">
        <w:rPr>
          <w:rFonts w:eastAsia="Times New Roman" w:cs="Arial"/>
          <w:lang w:eastAsia="mk-MK"/>
        </w:rPr>
        <w:t xml:space="preserve"> modify the budget lines according to the needs of the proposal’s activities. The required format for applications is included as </w:t>
      </w:r>
      <w:r w:rsidRPr="001D3FF8">
        <w:rPr>
          <w:rFonts w:eastAsia="Times New Roman" w:cs="Arial"/>
          <w:lang w:eastAsia="mk-MK"/>
        </w:rPr>
        <w:t xml:space="preserve">Annex 1 - </w:t>
      </w:r>
      <w:r w:rsidR="009322BB" w:rsidRPr="001D3FF8">
        <w:rPr>
          <w:rFonts w:eastAsia="Times New Roman" w:cs="Arial"/>
          <w:lang w:eastAsia="mk-MK"/>
        </w:rPr>
        <w:t>Concept Note</w:t>
      </w:r>
      <w:r w:rsidR="00E34712" w:rsidRPr="001D3FF8">
        <w:rPr>
          <w:rFonts w:eastAsia="Times New Roman" w:cs="Arial"/>
          <w:lang w:eastAsia="mk-MK"/>
        </w:rPr>
        <w:t xml:space="preserve"> </w:t>
      </w:r>
      <w:r w:rsidRPr="001D3FF8">
        <w:rPr>
          <w:rFonts w:eastAsia="Times New Roman" w:cs="Arial"/>
          <w:lang w:eastAsia="mk-MK"/>
        </w:rPr>
        <w:t>Form and Annex 1A – Budget Form.</w:t>
      </w:r>
      <w:r w:rsidR="00D7550A" w:rsidRPr="00321987">
        <w:rPr>
          <w:rFonts w:eastAsia="Times New Roman" w:cs="Arial"/>
          <w:lang w:eastAsia="mk-MK"/>
        </w:rPr>
        <w:t xml:space="preserve"> </w:t>
      </w:r>
    </w:p>
    <w:p w14:paraId="4149550A" w14:textId="35502B7D" w:rsidR="00C36810" w:rsidRDefault="00C36810" w:rsidP="00321987">
      <w:pPr>
        <w:shd w:val="clear" w:color="auto" w:fill="FFFFFF"/>
        <w:spacing w:after="0" w:line="276" w:lineRule="auto"/>
        <w:ind w:right="173"/>
        <w:rPr>
          <w:rFonts w:eastAsia="Times New Roman" w:cs="Arial"/>
          <w:lang w:eastAsia="mk-MK"/>
        </w:rPr>
      </w:pPr>
    </w:p>
    <w:p w14:paraId="58893F69" w14:textId="2DEC1557" w:rsidR="00C36810" w:rsidRPr="00C36810" w:rsidRDefault="00C36810" w:rsidP="00C36810">
      <w:pPr>
        <w:autoSpaceDE w:val="0"/>
        <w:autoSpaceDN w:val="0"/>
        <w:adjustRightInd w:val="0"/>
        <w:spacing w:after="0"/>
        <w:jc w:val="left"/>
        <w:rPr>
          <w:rFonts w:eastAsia="Arial" w:cs="Times New Roman"/>
          <w:lang w:eastAsia="en-GB"/>
        </w:rPr>
      </w:pPr>
      <w:r w:rsidRPr="00C36810">
        <w:t xml:space="preserve">For additional information contact </w:t>
      </w:r>
      <w:r w:rsidR="00321E9F">
        <w:t>Irena Bojadzieva</w:t>
      </w:r>
      <w:r w:rsidRPr="00C36810">
        <w:t xml:space="preserve"> at Tel</w:t>
      </w:r>
      <w:r w:rsidRPr="00C44944">
        <w:t xml:space="preserve">: </w:t>
      </w:r>
      <w:r w:rsidR="00321E9F" w:rsidRPr="00C44944">
        <w:t>070/385</w:t>
      </w:r>
      <w:r w:rsidR="00247039" w:rsidRPr="00C44944">
        <w:t>-</w:t>
      </w:r>
      <w:r w:rsidR="00321E9F" w:rsidRPr="00C44944">
        <w:t>277</w:t>
      </w:r>
      <w:r w:rsidRPr="00C44944">
        <w:t xml:space="preserve"> in</w:t>
      </w:r>
      <w:r w:rsidRPr="00C36810">
        <w:t xml:space="preserve"> Skopje who will direct you to the most appropriate technical person to provide more information or answer your questions.  </w:t>
      </w:r>
    </w:p>
    <w:p w14:paraId="5FA11F7E" w14:textId="77777777" w:rsidR="00C36810" w:rsidRPr="00321987" w:rsidRDefault="00C36810" w:rsidP="00321987">
      <w:pPr>
        <w:shd w:val="clear" w:color="auto" w:fill="FFFFFF"/>
        <w:spacing w:after="0" w:line="276" w:lineRule="auto"/>
        <w:ind w:right="173"/>
        <w:rPr>
          <w:rFonts w:eastAsia="Times New Roman" w:cs="Arial"/>
          <w:lang w:eastAsia="mk-MK"/>
        </w:rPr>
      </w:pPr>
    </w:p>
    <w:p w14:paraId="73267A34" w14:textId="77777777" w:rsidR="00321987" w:rsidRPr="00321987" w:rsidRDefault="00321987" w:rsidP="00321987">
      <w:pPr>
        <w:shd w:val="clear" w:color="auto" w:fill="FFFFFF"/>
        <w:spacing w:after="0" w:line="276" w:lineRule="auto"/>
        <w:ind w:right="173"/>
        <w:rPr>
          <w:rFonts w:eastAsia="Times New Roman" w:cs="Arial"/>
          <w:lang w:eastAsia="mk-MK"/>
        </w:rPr>
      </w:pPr>
    </w:p>
    <w:p w14:paraId="7F37DD43" w14:textId="1D3054AB" w:rsidR="00250721" w:rsidRPr="00321987" w:rsidRDefault="00FF6A6B" w:rsidP="00321987">
      <w:pPr>
        <w:pStyle w:val="Heading1"/>
        <w:spacing w:before="0" w:line="276" w:lineRule="auto"/>
        <w:rPr>
          <w:rFonts w:ascii="Gill Sans MT" w:eastAsia="Times New Roman" w:hAnsi="Gill Sans MT"/>
          <w:sz w:val="22"/>
          <w:szCs w:val="22"/>
          <w:lang w:eastAsia="mk-MK"/>
        </w:rPr>
      </w:pPr>
      <w:r w:rsidRPr="00321987">
        <w:rPr>
          <w:rFonts w:ascii="Gill Sans MT" w:eastAsia="Times New Roman" w:hAnsi="Gill Sans MT"/>
          <w:sz w:val="22"/>
          <w:szCs w:val="22"/>
          <w:lang w:eastAsia="mk-MK"/>
        </w:rPr>
        <w:t>Application Review Information</w:t>
      </w:r>
    </w:p>
    <w:p w14:paraId="392C11E3" w14:textId="4253A03B" w:rsidR="00032E9F" w:rsidRPr="008E61BC" w:rsidRDefault="00032E9F" w:rsidP="00441412">
      <w:pPr>
        <w:shd w:val="clear" w:color="auto" w:fill="FFFFFF"/>
        <w:spacing w:before="173" w:after="173" w:line="276" w:lineRule="auto"/>
        <w:ind w:right="173"/>
        <w:rPr>
          <w:rFonts w:eastAsia="Times New Roman" w:cs="Arial"/>
          <w:lang w:eastAsia="mk-MK"/>
        </w:rPr>
      </w:pPr>
      <w:r w:rsidRPr="008E61BC">
        <w:rPr>
          <w:rFonts w:eastAsia="Times New Roman" w:cs="Arial"/>
          <w:lang w:eastAsia="mk-MK"/>
        </w:rPr>
        <w:t xml:space="preserve">Applications will be evaluated in accordance with the </w:t>
      </w:r>
      <w:proofErr w:type="spellStart"/>
      <w:r w:rsidR="00555185">
        <w:rPr>
          <w:rFonts w:eastAsia="Times New Roman" w:cs="Arial"/>
          <w:lang w:eastAsia="mk-MK"/>
        </w:rPr>
        <w:t>programme</w:t>
      </w:r>
      <w:proofErr w:type="spellEnd"/>
      <w:r w:rsidR="00555185" w:rsidRPr="008E61BC">
        <w:rPr>
          <w:rFonts w:eastAsia="Times New Roman" w:cs="Arial"/>
          <w:lang w:eastAsia="mk-MK"/>
        </w:rPr>
        <w:t xml:space="preserve"> </w:t>
      </w:r>
      <w:r w:rsidRPr="008E61BC">
        <w:rPr>
          <w:rFonts w:eastAsia="Times New Roman" w:cs="Arial"/>
          <w:lang w:eastAsia="mk-MK"/>
        </w:rPr>
        <w:t>criteria set below. Applica</w:t>
      </w:r>
      <w:r w:rsidR="00C609C4" w:rsidRPr="008E61BC">
        <w:rPr>
          <w:rFonts w:eastAsia="Times New Roman" w:cs="Arial"/>
          <w:lang w:eastAsia="mk-MK"/>
        </w:rPr>
        <w:t>nts</w:t>
      </w:r>
      <w:r w:rsidRPr="008E61BC">
        <w:rPr>
          <w:rFonts w:eastAsia="Times New Roman" w:cs="Arial"/>
          <w:lang w:eastAsia="mk-MK"/>
        </w:rPr>
        <w:t xml:space="preserve"> should note that these criteria serve to: (a) identify matters which Applicants should</w:t>
      </w:r>
      <w:r w:rsidR="00C609C4" w:rsidRPr="008E61BC">
        <w:rPr>
          <w:rFonts w:eastAsia="Times New Roman" w:cs="Arial"/>
          <w:lang w:eastAsia="mk-MK"/>
        </w:rPr>
        <w:t xml:space="preserve"> additionally</w:t>
      </w:r>
      <w:r w:rsidRPr="008E61BC">
        <w:rPr>
          <w:rFonts w:eastAsia="Times New Roman" w:cs="Arial"/>
          <w:lang w:eastAsia="mk-MK"/>
        </w:rPr>
        <w:t xml:space="preserve"> address in their applications; and (b) set the standard against which all applications will be evaluated.</w:t>
      </w:r>
    </w:p>
    <w:p w14:paraId="07DE88F0" w14:textId="174E03AF" w:rsidR="00C609C4" w:rsidRPr="008E61BC" w:rsidRDefault="00032E9F" w:rsidP="00441412">
      <w:pPr>
        <w:spacing w:before="120" w:after="120" w:line="276" w:lineRule="auto"/>
      </w:pPr>
      <w:r w:rsidRPr="008E61BC">
        <w:rPr>
          <w:rFonts w:eastAsia="Times New Roman" w:cs="Arial"/>
          <w:lang w:eastAsia="mk-MK"/>
        </w:rPr>
        <w:t xml:space="preserve">To the extent necessary, </w:t>
      </w:r>
      <w:r w:rsidR="00A24D37" w:rsidRPr="008E61BC">
        <w:rPr>
          <w:rFonts w:eastAsia="Times New Roman" w:cs="Arial"/>
          <w:lang w:eastAsia="mk-MK"/>
        </w:rPr>
        <w:t>IME</w:t>
      </w:r>
      <w:r w:rsidRPr="008E61BC">
        <w:rPr>
          <w:rFonts w:eastAsia="Times New Roman" w:cs="Arial"/>
          <w:lang w:eastAsia="mk-MK"/>
        </w:rPr>
        <w:t xml:space="preserve"> may request clarification and supplemental materials from Applicants whose applications have a reasonable chance of being selected for Award. The entry into discussion is to be viewed as part of the evaluation process and shall not be deemed as indicative of a decision or commitment upon the part of </w:t>
      </w:r>
      <w:r w:rsidR="00A24D37" w:rsidRPr="008E61BC">
        <w:rPr>
          <w:rFonts w:eastAsia="Times New Roman" w:cs="Arial"/>
          <w:lang w:eastAsia="mk-MK"/>
        </w:rPr>
        <w:t>IME</w:t>
      </w:r>
      <w:r w:rsidRPr="008E61BC">
        <w:rPr>
          <w:rFonts w:eastAsia="Times New Roman" w:cs="Arial"/>
          <w:lang w:eastAsia="mk-MK"/>
        </w:rPr>
        <w:t xml:space="preserve"> to make an award to the Applicants with whom discussions are being held.</w:t>
      </w:r>
      <w:r w:rsidR="00C609C4" w:rsidRPr="008E61BC">
        <w:rPr>
          <w:rFonts w:eastAsia="Times New Roman" w:cs="Arial"/>
          <w:lang w:eastAsia="mk-MK"/>
        </w:rPr>
        <w:t xml:space="preserve"> </w:t>
      </w:r>
    </w:p>
    <w:p w14:paraId="017F2671" w14:textId="4BEB57ED" w:rsidR="00C202F2" w:rsidRDefault="00032E9F" w:rsidP="00441412">
      <w:pPr>
        <w:spacing w:line="276" w:lineRule="auto"/>
      </w:pPr>
      <w:r w:rsidRPr="008E61BC">
        <w:rPr>
          <w:rFonts w:eastAsia="Times New Roman" w:cs="Arial"/>
          <w:lang w:eastAsia="mk-MK"/>
        </w:rPr>
        <w:t xml:space="preserve">Applications </w:t>
      </w:r>
      <w:r w:rsidR="00441412" w:rsidRPr="008E61BC">
        <w:rPr>
          <w:rFonts w:eastAsia="Times New Roman" w:cs="Arial"/>
          <w:lang w:eastAsia="mk-MK"/>
        </w:rPr>
        <w:t xml:space="preserve">to </w:t>
      </w:r>
      <w:r w:rsidR="00441412" w:rsidRPr="008E61BC">
        <w:t>obtain support under the Opportunity Fund</w:t>
      </w:r>
      <w:r w:rsidR="00441412" w:rsidRPr="008E61BC">
        <w:rPr>
          <w:rFonts w:eastAsia="Times New Roman" w:cs="Arial"/>
          <w:lang w:eastAsia="mk-MK"/>
        </w:rPr>
        <w:t xml:space="preserve"> </w:t>
      </w:r>
      <w:r w:rsidRPr="008E61BC">
        <w:rPr>
          <w:rFonts w:eastAsia="Times New Roman" w:cs="Arial"/>
          <w:lang w:eastAsia="mk-MK"/>
        </w:rPr>
        <w:t xml:space="preserve">will be evaluated by the </w:t>
      </w:r>
      <w:r w:rsidR="00F71C4B" w:rsidRPr="008E61BC">
        <w:rPr>
          <w:rFonts w:eastAsia="Times New Roman" w:cs="Arial"/>
          <w:lang w:eastAsia="mk-MK"/>
        </w:rPr>
        <w:t xml:space="preserve">IME’s </w:t>
      </w:r>
      <w:r w:rsidR="000A2B72">
        <w:rPr>
          <w:rFonts w:eastAsia="Times New Roman" w:cs="Arial"/>
          <w:lang w:eastAsia="mk-MK"/>
        </w:rPr>
        <w:t>Opportunity Fund</w:t>
      </w:r>
      <w:r w:rsidR="000A2B72" w:rsidRPr="008E61BC">
        <w:rPr>
          <w:rFonts w:eastAsia="Times New Roman" w:cs="Arial"/>
          <w:lang w:eastAsia="mk-MK"/>
        </w:rPr>
        <w:t xml:space="preserve"> </w:t>
      </w:r>
      <w:r w:rsidR="00F71C4B" w:rsidRPr="008E61BC">
        <w:rPr>
          <w:rFonts w:eastAsia="Times New Roman" w:cs="Arial"/>
          <w:lang w:eastAsia="mk-MK"/>
        </w:rPr>
        <w:t xml:space="preserve">Selection Committee </w:t>
      </w:r>
      <w:r w:rsidR="00441412" w:rsidRPr="008E61BC">
        <w:rPr>
          <w:rFonts w:eastAsia="Times New Roman" w:cs="Arial"/>
          <w:lang w:eastAsia="mk-MK"/>
        </w:rPr>
        <w:t xml:space="preserve">according to the </w:t>
      </w:r>
      <w:r w:rsidR="00C202F2" w:rsidRPr="008E61BC">
        <w:t>following criteria:</w:t>
      </w:r>
    </w:p>
    <w:p w14:paraId="1E98F831" w14:textId="77777777" w:rsidR="008C31A0" w:rsidRPr="008E61BC" w:rsidRDefault="008C31A0" w:rsidP="00441412">
      <w:pPr>
        <w:spacing w:line="276" w:lineRule="auto"/>
      </w:pPr>
      <w:bookmarkStart w:id="11" w:name="_GoBack"/>
      <w:bookmarkEnd w:id="11"/>
    </w:p>
    <w:tbl>
      <w:tblPr>
        <w:tblStyle w:val="GridTable1Light-Accent5"/>
        <w:tblW w:w="5000" w:type="pct"/>
        <w:tblLayout w:type="fixed"/>
        <w:tblLook w:val="04A0" w:firstRow="1" w:lastRow="0" w:firstColumn="1" w:lastColumn="0" w:noHBand="0" w:noVBand="1"/>
      </w:tblPr>
      <w:tblGrid>
        <w:gridCol w:w="9628"/>
      </w:tblGrid>
      <w:tr w:rsidR="00C97EA7" w:rsidRPr="0048719C" w14:paraId="437A8035" w14:textId="77777777" w:rsidTr="00CD7CAF">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000" w:type="pct"/>
            <w:shd w:val="clear" w:color="auto" w:fill="A6A6A6" w:themeFill="background1" w:themeFillShade="A6"/>
          </w:tcPr>
          <w:p w14:paraId="12F45C02" w14:textId="177A96EA" w:rsidR="00C97EA7" w:rsidRPr="00C97EA7" w:rsidRDefault="00670EB2" w:rsidP="00C97EA7">
            <w:pPr>
              <w:rPr>
                <w:b w:val="0"/>
              </w:rPr>
            </w:pPr>
            <w:r>
              <w:rPr>
                <w:rFonts w:eastAsia="Arial" w:cs="Times New Roman"/>
                <w:b w:val="0"/>
                <w:lang w:eastAsia="en-GB"/>
              </w:rPr>
              <w:lastRenderedPageBreak/>
              <w:t>Criteria against which proposals will be evaluated</w:t>
            </w: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4C3A27" w:rsidRPr="0085143D" w14:paraId="09B82E32" w14:textId="77777777" w:rsidTr="00C44944">
        <w:trPr>
          <w:cantSplit/>
        </w:trPr>
        <w:tc>
          <w:tcPr>
            <w:tcW w:w="9630" w:type="dxa"/>
            <w:vAlign w:val="bottom"/>
          </w:tcPr>
          <w:p w14:paraId="748F8076" w14:textId="42569C6D" w:rsidR="004C3A27" w:rsidRPr="0085143D" w:rsidRDefault="004C3A27" w:rsidP="00C568A1">
            <w:pPr>
              <w:spacing w:after="0"/>
              <w:ind w:left="73"/>
              <w:jc w:val="left"/>
              <w:rPr>
                <w:rFonts w:eastAsia="Times New Roman" w:cs="Times New Roman"/>
                <w:color w:val="auto"/>
                <w:sz w:val="20"/>
                <w:szCs w:val="20"/>
              </w:rPr>
            </w:pPr>
            <w:r>
              <w:rPr>
                <w:rFonts w:eastAsia="Times New Roman" w:cs="Times New Roman"/>
                <w:b/>
                <w:color w:val="auto"/>
                <w:sz w:val="20"/>
                <w:szCs w:val="20"/>
              </w:rPr>
              <w:t>Strategic Fit (35</w:t>
            </w:r>
            <w:r w:rsidRPr="0085143D">
              <w:rPr>
                <w:rFonts w:eastAsia="Times New Roman" w:cs="Times New Roman"/>
                <w:b/>
                <w:color w:val="auto"/>
                <w:sz w:val="20"/>
                <w:szCs w:val="20"/>
              </w:rPr>
              <w:t xml:space="preserve"> points)</w:t>
            </w:r>
          </w:p>
        </w:tc>
      </w:tr>
      <w:tr w:rsidR="004C3A27" w:rsidRPr="0085143D" w14:paraId="33EBEC17" w14:textId="77777777" w:rsidTr="00C44944">
        <w:trPr>
          <w:cantSplit/>
        </w:trPr>
        <w:tc>
          <w:tcPr>
            <w:tcW w:w="9630" w:type="dxa"/>
            <w:vAlign w:val="bottom"/>
          </w:tcPr>
          <w:p w14:paraId="79D0EB88" w14:textId="606B5432" w:rsidR="004C3A27" w:rsidRPr="0085143D" w:rsidRDefault="004C3A27" w:rsidP="001F2EEC">
            <w:pPr>
              <w:numPr>
                <w:ilvl w:val="0"/>
                <w:numId w:val="36"/>
              </w:numPr>
              <w:spacing w:after="0"/>
              <w:jc w:val="left"/>
              <w:rPr>
                <w:rFonts w:eastAsia="Times New Roman" w:cs="Times New Roman"/>
                <w:color w:val="auto"/>
                <w:sz w:val="20"/>
                <w:szCs w:val="20"/>
              </w:rPr>
            </w:pPr>
            <w:r>
              <w:rPr>
                <w:rFonts w:eastAsia="Times New Roman" w:cs="Times New Roman"/>
                <w:color w:val="auto"/>
                <w:sz w:val="20"/>
                <w:szCs w:val="20"/>
              </w:rPr>
              <w:t>Created new (direct or full time equivalent) jobs as a result of the investment in the anchor firm</w:t>
            </w:r>
            <w:r w:rsidR="007B2239">
              <w:rPr>
                <w:rFonts w:eastAsia="Times New Roman" w:cs="Times New Roman"/>
                <w:color w:val="auto"/>
                <w:sz w:val="20"/>
                <w:szCs w:val="20"/>
              </w:rPr>
              <w:t xml:space="preserve"> </w:t>
            </w:r>
            <w:r w:rsidR="007B2239">
              <w:rPr>
                <w:sz w:val="20"/>
              </w:rPr>
              <w:t>(10 points)</w:t>
            </w:r>
          </w:p>
        </w:tc>
      </w:tr>
      <w:tr w:rsidR="004C3A27" w:rsidRPr="0085143D" w14:paraId="1E5D8CD5" w14:textId="77777777" w:rsidTr="00C44944">
        <w:trPr>
          <w:cantSplit/>
        </w:trPr>
        <w:tc>
          <w:tcPr>
            <w:tcW w:w="9630" w:type="dxa"/>
            <w:vAlign w:val="bottom"/>
          </w:tcPr>
          <w:p w14:paraId="1E2346CB" w14:textId="5B03D61F" w:rsidR="004C3A27" w:rsidRPr="006165A6" w:rsidRDefault="00A62F3A" w:rsidP="007A76BE">
            <w:pPr>
              <w:numPr>
                <w:ilvl w:val="0"/>
                <w:numId w:val="36"/>
              </w:numPr>
              <w:spacing w:after="0"/>
              <w:jc w:val="left"/>
              <w:rPr>
                <w:rFonts w:eastAsia="Times New Roman" w:cs="Times New Roman"/>
                <w:color w:val="auto"/>
                <w:sz w:val="20"/>
                <w:szCs w:val="20"/>
              </w:rPr>
            </w:pPr>
            <w:r w:rsidRPr="006165A6">
              <w:rPr>
                <w:rFonts w:cs="Arial"/>
                <w:sz w:val="20"/>
                <w:szCs w:val="20"/>
              </w:rPr>
              <w:t>Increased sales</w:t>
            </w:r>
            <w:r w:rsidR="004C3A27" w:rsidRPr="006165A6">
              <w:rPr>
                <w:rFonts w:cs="Arial"/>
                <w:sz w:val="20"/>
                <w:szCs w:val="20"/>
              </w:rPr>
              <w:t xml:space="preserve"> </w:t>
            </w:r>
            <w:r w:rsidR="004C3A27">
              <w:rPr>
                <w:rFonts w:cs="Arial"/>
                <w:sz w:val="20"/>
                <w:szCs w:val="20"/>
              </w:rPr>
              <w:t>by the</w:t>
            </w:r>
            <w:r w:rsidR="004C3A27" w:rsidRPr="006165A6">
              <w:rPr>
                <w:rFonts w:cs="Arial"/>
                <w:sz w:val="20"/>
                <w:szCs w:val="20"/>
              </w:rPr>
              <w:t xml:space="preserve"> anchor firm </w:t>
            </w:r>
            <w:r w:rsidR="007B2239">
              <w:rPr>
                <w:sz w:val="20"/>
              </w:rPr>
              <w:t>(15 points)</w:t>
            </w:r>
          </w:p>
        </w:tc>
      </w:tr>
      <w:tr w:rsidR="004C3A27" w:rsidRPr="0085143D" w14:paraId="34C48910" w14:textId="77777777" w:rsidTr="00C44944">
        <w:trPr>
          <w:cantSplit/>
        </w:trPr>
        <w:tc>
          <w:tcPr>
            <w:tcW w:w="9630" w:type="dxa"/>
            <w:vAlign w:val="bottom"/>
          </w:tcPr>
          <w:p w14:paraId="6DC10256" w14:textId="05F5FB6C" w:rsidR="004C3A27" w:rsidRPr="006165A6" w:rsidRDefault="00995100" w:rsidP="007A76BE">
            <w:pPr>
              <w:numPr>
                <w:ilvl w:val="0"/>
                <w:numId w:val="36"/>
              </w:numPr>
              <w:spacing w:after="0"/>
              <w:jc w:val="left"/>
              <w:rPr>
                <w:rFonts w:cs="Arial"/>
                <w:sz w:val="20"/>
                <w:szCs w:val="20"/>
              </w:rPr>
            </w:pPr>
            <w:r>
              <w:rPr>
                <w:rFonts w:eastAsia="Times New Roman" w:cs="Times New Roman"/>
                <w:color w:val="auto"/>
                <w:sz w:val="20"/>
                <w:szCs w:val="20"/>
              </w:rPr>
              <w:t>Increased employmen</w:t>
            </w:r>
            <w:r w:rsidR="00905887">
              <w:rPr>
                <w:rFonts w:eastAsia="Times New Roman" w:cs="Times New Roman"/>
                <w:color w:val="auto"/>
                <w:sz w:val="20"/>
                <w:szCs w:val="20"/>
              </w:rPr>
              <w:t>t and</w:t>
            </w:r>
            <w:r>
              <w:rPr>
                <w:rFonts w:eastAsia="Times New Roman" w:cs="Times New Roman"/>
                <w:color w:val="auto"/>
                <w:sz w:val="20"/>
                <w:szCs w:val="20"/>
              </w:rPr>
              <w:t xml:space="preserve"> sales for </w:t>
            </w:r>
            <w:r w:rsidR="00C15BAD">
              <w:rPr>
                <w:rFonts w:eastAsia="Times New Roman" w:cs="Times New Roman"/>
                <w:color w:val="auto"/>
                <w:sz w:val="20"/>
                <w:szCs w:val="20"/>
              </w:rPr>
              <w:t xml:space="preserve">other actors in the supply chain </w:t>
            </w:r>
            <w:r w:rsidR="007B2239">
              <w:rPr>
                <w:sz w:val="20"/>
              </w:rPr>
              <w:t>(10 points)</w:t>
            </w:r>
          </w:p>
        </w:tc>
      </w:tr>
      <w:tr w:rsidR="004C3A27" w:rsidRPr="0085143D" w14:paraId="4A7495B1" w14:textId="77777777" w:rsidTr="00C44944">
        <w:trPr>
          <w:cantSplit/>
        </w:trPr>
        <w:tc>
          <w:tcPr>
            <w:tcW w:w="9630" w:type="dxa"/>
            <w:vAlign w:val="bottom"/>
          </w:tcPr>
          <w:p w14:paraId="08F34673" w14:textId="765DE8EE" w:rsidR="004C3A27" w:rsidRPr="0085143D" w:rsidRDefault="004C3A27" w:rsidP="00B06A1F">
            <w:pPr>
              <w:spacing w:after="0"/>
              <w:jc w:val="left"/>
              <w:rPr>
                <w:rFonts w:eastAsia="Times New Roman" w:cs="Times New Roman"/>
                <w:b/>
                <w:color w:val="FF0000"/>
                <w:sz w:val="20"/>
                <w:szCs w:val="20"/>
              </w:rPr>
            </w:pPr>
            <w:r>
              <w:rPr>
                <w:rFonts w:eastAsia="Times New Roman" w:cs="Times New Roman"/>
                <w:b/>
                <w:color w:val="auto"/>
                <w:sz w:val="20"/>
                <w:szCs w:val="20"/>
              </w:rPr>
              <w:t>Technical Approach (30</w:t>
            </w:r>
            <w:r w:rsidRPr="0085143D">
              <w:rPr>
                <w:rFonts w:eastAsia="Times New Roman" w:cs="Times New Roman"/>
                <w:b/>
                <w:color w:val="auto"/>
                <w:sz w:val="20"/>
                <w:szCs w:val="20"/>
              </w:rPr>
              <w:t xml:space="preserve"> points) </w:t>
            </w:r>
          </w:p>
        </w:tc>
      </w:tr>
      <w:tr w:rsidR="004C3A27" w:rsidRPr="0085143D" w14:paraId="55A48EE6" w14:textId="77777777" w:rsidTr="00C44944">
        <w:trPr>
          <w:cantSplit/>
        </w:trPr>
        <w:tc>
          <w:tcPr>
            <w:tcW w:w="9630" w:type="dxa"/>
            <w:vAlign w:val="bottom"/>
          </w:tcPr>
          <w:p w14:paraId="71B330E3" w14:textId="353278D0" w:rsidR="004C3A27" w:rsidRPr="00881AEA" w:rsidRDefault="00995100" w:rsidP="00881AEA">
            <w:pPr>
              <w:pStyle w:val="ListParagraph"/>
              <w:numPr>
                <w:ilvl w:val="0"/>
                <w:numId w:val="38"/>
              </w:numPr>
              <w:tabs>
                <w:tab w:val="clear" w:pos="1710"/>
                <w:tab w:val="num" w:pos="1350"/>
              </w:tabs>
              <w:spacing w:after="0"/>
              <w:ind w:left="319" w:hanging="284"/>
              <w:jc w:val="left"/>
              <w:rPr>
                <w:rFonts w:cs="Arial"/>
                <w:sz w:val="20"/>
                <w:szCs w:val="20"/>
              </w:rPr>
            </w:pPr>
            <w:r>
              <w:rPr>
                <w:sz w:val="20"/>
                <w:szCs w:val="20"/>
                <w:lang w:val="en-GB"/>
              </w:rPr>
              <w:t>Methodology to implement the activity is clear and realistic in terms of timing and resources required</w:t>
            </w:r>
            <w:r w:rsidR="004C3A27" w:rsidRPr="00881AEA">
              <w:rPr>
                <w:sz w:val="20"/>
                <w:szCs w:val="20"/>
                <w:lang w:val="en-GB"/>
              </w:rPr>
              <w:t xml:space="preserve"> </w:t>
            </w:r>
            <w:r w:rsidR="00C15BAD">
              <w:rPr>
                <w:sz w:val="20"/>
                <w:szCs w:val="20"/>
              </w:rPr>
              <w:t>(</w:t>
            </w:r>
            <w:r w:rsidR="007B2239">
              <w:rPr>
                <w:sz w:val="20"/>
                <w:szCs w:val="20"/>
              </w:rPr>
              <w:t>10</w:t>
            </w:r>
            <w:r w:rsidR="00C15BAD">
              <w:rPr>
                <w:sz w:val="20"/>
                <w:szCs w:val="20"/>
              </w:rPr>
              <w:t xml:space="preserve"> points)</w:t>
            </w:r>
          </w:p>
        </w:tc>
      </w:tr>
      <w:tr w:rsidR="00905887" w:rsidRPr="0085143D" w14:paraId="2911E4BD" w14:textId="77777777" w:rsidTr="00C44944">
        <w:trPr>
          <w:cantSplit/>
        </w:trPr>
        <w:tc>
          <w:tcPr>
            <w:tcW w:w="9630" w:type="dxa"/>
            <w:vAlign w:val="bottom"/>
          </w:tcPr>
          <w:p w14:paraId="04B18397" w14:textId="044F9D03" w:rsidR="00905887" w:rsidRPr="00351891" w:rsidDel="00995100" w:rsidRDefault="00905887" w:rsidP="00881AEA">
            <w:pPr>
              <w:pStyle w:val="ListParagraph"/>
              <w:numPr>
                <w:ilvl w:val="0"/>
                <w:numId w:val="38"/>
              </w:numPr>
              <w:tabs>
                <w:tab w:val="clear" w:pos="1710"/>
                <w:tab w:val="num" w:pos="1350"/>
              </w:tabs>
              <w:spacing w:after="0"/>
              <w:ind w:left="319" w:hanging="284"/>
              <w:jc w:val="left"/>
              <w:rPr>
                <w:sz w:val="20"/>
                <w:szCs w:val="20"/>
                <w:lang w:val="en-GB"/>
              </w:rPr>
            </w:pPr>
            <w:r w:rsidRPr="00351891">
              <w:rPr>
                <w:sz w:val="20"/>
                <w:szCs w:val="20"/>
                <w:lang w:val="en-GB"/>
              </w:rPr>
              <w:t xml:space="preserve">Number of </w:t>
            </w:r>
            <w:r w:rsidR="007B2239" w:rsidRPr="00351891">
              <w:rPr>
                <w:sz w:val="20"/>
                <w:szCs w:val="20"/>
                <w:lang w:val="en-GB"/>
              </w:rPr>
              <w:t>stakeholders</w:t>
            </w:r>
            <w:r w:rsidRPr="00351891">
              <w:rPr>
                <w:sz w:val="20"/>
                <w:szCs w:val="20"/>
                <w:lang w:val="en-GB"/>
              </w:rPr>
              <w:t xml:space="preserve"> the applicant works with</w:t>
            </w:r>
            <w:r w:rsidR="00C15BAD" w:rsidRPr="00351891">
              <w:rPr>
                <w:sz w:val="20"/>
                <w:szCs w:val="20"/>
                <w:lang w:val="en-GB"/>
              </w:rPr>
              <w:t xml:space="preserve"> or is in alliance with </w:t>
            </w:r>
            <w:r w:rsidR="00C15BAD" w:rsidRPr="00351891">
              <w:rPr>
                <w:sz w:val="20"/>
                <w:szCs w:val="20"/>
              </w:rPr>
              <w:t>(</w:t>
            </w:r>
            <w:r w:rsidR="007B2239" w:rsidRPr="00351891">
              <w:rPr>
                <w:sz w:val="20"/>
                <w:szCs w:val="20"/>
              </w:rPr>
              <w:t>8</w:t>
            </w:r>
            <w:r w:rsidR="00C15BAD" w:rsidRPr="00351891">
              <w:rPr>
                <w:sz w:val="20"/>
                <w:szCs w:val="20"/>
              </w:rPr>
              <w:t xml:space="preserve"> points)</w:t>
            </w:r>
            <w:r w:rsidR="00FB1754" w:rsidRPr="00351891">
              <w:rPr>
                <w:rStyle w:val="FootnoteReference"/>
                <w:sz w:val="20"/>
                <w:szCs w:val="20"/>
              </w:rPr>
              <w:footnoteReference w:id="1"/>
            </w:r>
          </w:p>
        </w:tc>
      </w:tr>
      <w:tr w:rsidR="004C3A27" w:rsidRPr="0085143D" w14:paraId="64223657" w14:textId="77777777" w:rsidTr="00C44944">
        <w:trPr>
          <w:cantSplit/>
        </w:trPr>
        <w:tc>
          <w:tcPr>
            <w:tcW w:w="9630" w:type="dxa"/>
            <w:vAlign w:val="bottom"/>
          </w:tcPr>
          <w:p w14:paraId="250AE692" w14:textId="6096A3B9" w:rsidR="004C3A27" w:rsidRPr="006165A6" w:rsidRDefault="004E7A0F" w:rsidP="00881AEA">
            <w:pPr>
              <w:pStyle w:val="TableBullet"/>
              <w:numPr>
                <w:ilvl w:val="0"/>
                <w:numId w:val="38"/>
              </w:numPr>
              <w:tabs>
                <w:tab w:val="clear" w:pos="1710"/>
                <w:tab w:val="num" w:pos="1350"/>
              </w:tabs>
              <w:ind w:left="319" w:hanging="284"/>
              <w:rPr>
                <w:rFonts w:ascii="Gill Sans MT" w:hAnsi="Gill Sans MT"/>
                <w:sz w:val="20"/>
                <w:szCs w:val="20"/>
              </w:rPr>
            </w:pPr>
            <w:r>
              <w:rPr>
                <w:rFonts w:ascii="Gill Sans MT" w:hAnsi="Gill Sans MT"/>
                <w:sz w:val="20"/>
                <w:szCs w:val="20"/>
              </w:rPr>
              <w:t>A</w:t>
            </w:r>
            <w:r w:rsidR="00995100">
              <w:rPr>
                <w:rFonts w:ascii="Gill Sans MT" w:hAnsi="Gill Sans MT"/>
                <w:sz w:val="20"/>
                <w:szCs w:val="20"/>
              </w:rPr>
              <w:t xml:space="preserve">ctivity </w:t>
            </w:r>
            <w:r>
              <w:rPr>
                <w:rFonts w:ascii="Gill Sans MT" w:hAnsi="Gill Sans MT"/>
                <w:sz w:val="20"/>
                <w:szCs w:val="20"/>
              </w:rPr>
              <w:t xml:space="preserve">is </w:t>
            </w:r>
            <w:r w:rsidR="008F6630">
              <w:rPr>
                <w:rFonts w:ascii="Gill Sans MT" w:hAnsi="Gill Sans MT"/>
                <w:sz w:val="20"/>
                <w:szCs w:val="20"/>
              </w:rPr>
              <w:t xml:space="preserve">innovative </w:t>
            </w:r>
            <w:r w:rsidR="00351891">
              <w:rPr>
                <w:rFonts w:ascii="Gill Sans MT" w:hAnsi="Gill Sans MT"/>
                <w:sz w:val="20"/>
                <w:szCs w:val="20"/>
              </w:rPr>
              <w:t xml:space="preserve">(something new) compared to the applicant’s current </w:t>
            </w:r>
            <w:r w:rsidR="00C15BAD">
              <w:rPr>
                <w:rFonts w:ascii="Gill Sans MT" w:hAnsi="Gill Sans MT"/>
                <w:sz w:val="20"/>
                <w:szCs w:val="20"/>
              </w:rPr>
              <w:t>business model (5 points)</w:t>
            </w:r>
          </w:p>
        </w:tc>
      </w:tr>
      <w:tr w:rsidR="004C3A27" w:rsidRPr="0085143D" w14:paraId="5D642E4F" w14:textId="77777777" w:rsidTr="00C44944">
        <w:trPr>
          <w:cantSplit/>
        </w:trPr>
        <w:tc>
          <w:tcPr>
            <w:tcW w:w="9630" w:type="dxa"/>
            <w:vAlign w:val="bottom"/>
          </w:tcPr>
          <w:p w14:paraId="43BB76F4" w14:textId="19AB8BE7" w:rsidR="004C3A27" w:rsidRPr="00AA5B78" w:rsidRDefault="004E7A0F" w:rsidP="00CD7CAF">
            <w:pPr>
              <w:pStyle w:val="TableBullet"/>
              <w:numPr>
                <w:ilvl w:val="0"/>
                <w:numId w:val="38"/>
              </w:numPr>
              <w:tabs>
                <w:tab w:val="clear" w:pos="1710"/>
                <w:tab w:val="num" w:pos="1350"/>
              </w:tabs>
              <w:ind w:left="319" w:hanging="284"/>
              <w:rPr>
                <w:rFonts w:ascii="Gill Sans MT" w:hAnsi="Gill Sans MT"/>
                <w:sz w:val="20"/>
                <w:szCs w:val="20"/>
              </w:rPr>
            </w:pPr>
            <w:r>
              <w:rPr>
                <w:rFonts w:ascii="Gill Sans MT" w:hAnsi="Gill Sans MT"/>
                <w:sz w:val="20"/>
              </w:rPr>
              <w:t>Applicant has</w:t>
            </w:r>
            <w:r w:rsidR="008F6630">
              <w:rPr>
                <w:rFonts w:ascii="Gill Sans MT" w:hAnsi="Gill Sans MT"/>
                <w:sz w:val="20"/>
              </w:rPr>
              <w:t xml:space="preserve"> financial and human resources in place to sustain the activity once IME support ends</w:t>
            </w:r>
            <w:r w:rsidR="00C15BAD">
              <w:rPr>
                <w:rFonts w:ascii="Gill Sans MT" w:hAnsi="Gill Sans MT"/>
                <w:sz w:val="20"/>
              </w:rPr>
              <w:t xml:space="preserve"> </w:t>
            </w:r>
            <w:r w:rsidR="00C15BAD">
              <w:rPr>
                <w:rFonts w:ascii="Gill Sans MT" w:hAnsi="Gill Sans MT"/>
                <w:sz w:val="20"/>
                <w:szCs w:val="20"/>
              </w:rPr>
              <w:t>(5 points)</w:t>
            </w:r>
          </w:p>
        </w:tc>
      </w:tr>
      <w:tr w:rsidR="004C3A27" w:rsidRPr="0085143D" w14:paraId="15DB5D68" w14:textId="3FE75B35" w:rsidTr="00C44944">
        <w:trPr>
          <w:cantSplit/>
        </w:trPr>
        <w:tc>
          <w:tcPr>
            <w:tcW w:w="9630" w:type="dxa"/>
            <w:vAlign w:val="bottom"/>
          </w:tcPr>
          <w:p w14:paraId="67518482" w14:textId="15D3A626" w:rsidR="004C3A27" w:rsidRPr="0085143D" w:rsidRDefault="00351891" w:rsidP="00CD7CAF">
            <w:pPr>
              <w:numPr>
                <w:ilvl w:val="0"/>
                <w:numId w:val="38"/>
              </w:numPr>
              <w:tabs>
                <w:tab w:val="clear" w:pos="1710"/>
                <w:tab w:val="num" w:pos="1350"/>
              </w:tabs>
              <w:spacing w:after="0"/>
              <w:ind w:left="319" w:hanging="284"/>
              <w:jc w:val="left"/>
              <w:rPr>
                <w:rFonts w:eastAsia="Times New Roman" w:cs="Times New Roman"/>
                <w:color w:val="auto"/>
                <w:sz w:val="20"/>
                <w:szCs w:val="20"/>
              </w:rPr>
            </w:pPr>
            <w:r>
              <w:rPr>
                <w:sz w:val="20"/>
              </w:rPr>
              <w:t>Through this application the applicant will a</w:t>
            </w:r>
            <w:r w:rsidR="00321E9F">
              <w:rPr>
                <w:sz w:val="20"/>
              </w:rPr>
              <w:t>dopt</w:t>
            </w:r>
            <w:r w:rsidR="004C3A27" w:rsidRPr="0048719C">
              <w:rPr>
                <w:sz w:val="20"/>
                <w:lang w:val="en-GB"/>
              </w:rPr>
              <w:t xml:space="preserve"> improved and inclusive HR policies and/or practices</w:t>
            </w:r>
            <w:r w:rsidR="004C3A27">
              <w:rPr>
                <w:sz w:val="20"/>
                <w:lang w:val="en-GB"/>
              </w:rPr>
              <w:t xml:space="preserve"> (</w:t>
            </w:r>
            <w:r w:rsidR="007B2239">
              <w:rPr>
                <w:sz w:val="20"/>
                <w:lang w:val="en-GB"/>
              </w:rPr>
              <w:t>2</w:t>
            </w:r>
            <w:r w:rsidR="004C3A27">
              <w:rPr>
                <w:sz w:val="20"/>
                <w:lang w:val="en-GB"/>
              </w:rPr>
              <w:t xml:space="preserve"> points) </w:t>
            </w:r>
          </w:p>
        </w:tc>
      </w:tr>
      <w:tr w:rsidR="004C3A27" w:rsidRPr="0085143D" w14:paraId="07384CCE" w14:textId="77777777" w:rsidTr="00C44944">
        <w:trPr>
          <w:cantSplit/>
        </w:trPr>
        <w:tc>
          <w:tcPr>
            <w:tcW w:w="9630" w:type="dxa"/>
            <w:vAlign w:val="bottom"/>
          </w:tcPr>
          <w:p w14:paraId="64A93F3F" w14:textId="23C077D1" w:rsidR="004C3A27" w:rsidRPr="0085143D" w:rsidRDefault="004C3A27" w:rsidP="00881AEA">
            <w:pPr>
              <w:spacing w:after="0"/>
              <w:jc w:val="left"/>
              <w:rPr>
                <w:rFonts w:eastAsia="Times New Roman" w:cs="Times New Roman"/>
                <w:b/>
                <w:color w:val="auto"/>
                <w:sz w:val="20"/>
                <w:szCs w:val="20"/>
              </w:rPr>
            </w:pPr>
            <w:r w:rsidRPr="0085143D">
              <w:rPr>
                <w:rFonts w:eastAsia="Times New Roman" w:cs="Times New Roman"/>
                <w:b/>
                <w:color w:val="auto"/>
                <w:sz w:val="20"/>
                <w:szCs w:val="20"/>
              </w:rPr>
              <w:t xml:space="preserve">Gender </w:t>
            </w:r>
            <w:r>
              <w:rPr>
                <w:rFonts w:eastAsia="Times New Roman" w:cs="Times New Roman"/>
                <w:b/>
                <w:color w:val="auto"/>
                <w:sz w:val="20"/>
                <w:szCs w:val="20"/>
              </w:rPr>
              <w:t>and Youth Considerations (20</w:t>
            </w:r>
            <w:r w:rsidRPr="0085143D">
              <w:rPr>
                <w:rFonts w:eastAsia="Times New Roman" w:cs="Times New Roman"/>
                <w:b/>
                <w:color w:val="auto"/>
                <w:sz w:val="20"/>
                <w:szCs w:val="20"/>
              </w:rPr>
              <w:t xml:space="preserve"> points)</w:t>
            </w:r>
          </w:p>
        </w:tc>
      </w:tr>
      <w:tr w:rsidR="004C3A27" w:rsidRPr="0085143D" w14:paraId="3B26D97C" w14:textId="77777777" w:rsidTr="00C44944">
        <w:trPr>
          <w:cantSplit/>
        </w:trPr>
        <w:tc>
          <w:tcPr>
            <w:tcW w:w="9630" w:type="dxa"/>
            <w:vAlign w:val="bottom"/>
          </w:tcPr>
          <w:p w14:paraId="15E73C7A" w14:textId="5B47E51B" w:rsidR="004C3A27" w:rsidRPr="00AA5B78" w:rsidRDefault="004C3A27" w:rsidP="00881AEA">
            <w:pPr>
              <w:pStyle w:val="ListParagraph"/>
              <w:numPr>
                <w:ilvl w:val="0"/>
                <w:numId w:val="41"/>
              </w:numPr>
              <w:spacing w:after="0"/>
              <w:jc w:val="left"/>
              <w:rPr>
                <w:rFonts w:eastAsia="Times New Roman" w:cs="Times New Roman"/>
                <w:color w:val="auto"/>
                <w:sz w:val="20"/>
                <w:szCs w:val="20"/>
              </w:rPr>
            </w:pPr>
            <w:r w:rsidRPr="00AA5B78">
              <w:rPr>
                <w:sz w:val="20"/>
              </w:rPr>
              <w:t>Direct jobs are filled by youth (ages 19-29</w:t>
            </w:r>
            <w:r w:rsidR="007B2239" w:rsidRPr="00AA5B78">
              <w:rPr>
                <w:sz w:val="20"/>
              </w:rPr>
              <w:t>) (</w:t>
            </w:r>
            <w:r w:rsidR="007B2239">
              <w:rPr>
                <w:sz w:val="20"/>
              </w:rPr>
              <w:t>8 points)</w:t>
            </w:r>
          </w:p>
        </w:tc>
      </w:tr>
      <w:tr w:rsidR="004C3A27" w:rsidRPr="0085143D" w14:paraId="5FC4546F" w14:textId="77777777" w:rsidTr="00C44944">
        <w:trPr>
          <w:cantSplit/>
        </w:trPr>
        <w:tc>
          <w:tcPr>
            <w:tcW w:w="9630" w:type="dxa"/>
            <w:vAlign w:val="bottom"/>
          </w:tcPr>
          <w:p w14:paraId="5C724EC0" w14:textId="1CF66E68" w:rsidR="004C3A27" w:rsidRPr="00AA5B78" w:rsidRDefault="004C3A27" w:rsidP="00881AEA">
            <w:pPr>
              <w:pStyle w:val="ListParagraph"/>
              <w:numPr>
                <w:ilvl w:val="0"/>
                <w:numId w:val="41"/>
              </w:numPr>
              <w:spacing w:after="0"/>
              <w:jc w:val="left"/>
              <w:rPr>
                <w:rFonts w:eastAsia="Times New Roman" w:cs="Times New Roman"/>
                <w:color w:val="auto"/>
                <w:sz w:val="20"/>
                <w:szCs w:val="20"/>
              </w:rPr>
            </w:pPr>
            <w:r w:rsidRPr="00AA5B78">
              <w:rPr>
                <w:sz w:val="20"/>
              </w:rPr>
              <w:t>Direct jobs are filled by women</w:t>
            </w:r>
            <w:r>
              <w:rPr>
                <w:sz w:val="20"/>
              </w:rPr>
              <w:t xml:space="preserve"> </w:t>
            </w:r>
            <w:r w:rsidR="007B2239">
              <w:rPr>
                <w:sz w:val="20"/>
              </w:rPr>
              <w:t>(8 points)</w:t>
            </w:r>
          </w:p>
        </w:tc>
      </w:tr>
      <w:tr w:rsidR="004C3A27" w:rsidRPr="0085143D" w14:paraId="02A3BDE2" w14:textId="55407C0C" w:rsidTr="00C44944">
        <w:trPr>
          <w:cantSplit/>
        </w:trPr>
        <w:tc>
          <w:tcPr>
            <w:tcW w:w="9630" w:type="dxa"/>
            <w:vAlign w:val="bottom"/>
          </w:tcPr>
          <w:p w14:paraId="09E80C88" w14:textId="790A1CEB" w:rsidR="004C3A27" w:rsidRPr="00AA5B78" w:rsidRDefault="00351891" w:rsidP="00881AEA">
            <w:pPr>
              <w:pStyle w:val="ListParagraph"/>
              <w:numPr>
                <w:ilvl w:val="0"/>
                <w:numId w:val="41"/>
              </w:numPr>
              <w:spacing w:after="0"/>
              <w:jc w:val="left"/>
              <w:rPr>
                <w:sz w:val="20"/>
              </w:rPr>
            </w:pPr>
            <w:r>
              <w:rPr>
                <w:sz w:val="20"/>
              </w:rPr>
              <w:t xml:space="preserve">Applicant plans to </w:t>
            </w:r>
            <w:proofErr w:type="spellStart"/>
            <w:r>
              <w:rPr>
                <w:sz w:val="20"/>
              </w:rPr>
              <w:t>i</w:t>
            </w:r>
            <w:r w:rsidR="00A62F3A" w:rsidRPr="0048719C">
              <w:rPr>
                <w:sz w:val="20"/>
                <w:lang w:val="en-GB"/>
              </w:rPr>
              <w:t>ntroduc</w:t>
            </w:r>
            <w:r>
              <w:rPr>
                <w:sz w:val="20"/>
                <w:lang w:val="en-GB"/>
              </w:rPr>
              <w:t>e</w:t>
            </w:r>
            <w:proofErr w:type="spellEnd"/>
            <w:r w:rsidR="004C3A27" w:rsidRPr="0048719C">
              <w:rPr>
                <w:sz w:val="20"/>
                <w:lang w:val="en-GB"/>
              </w:rPr>
              <w:t xml:space="preserve"> new incentives or policies to increase employment of women and/or youth</w:t>
            </w:r>
            <w:r w:rsidR="004C3A27">
              <w:rPr>
                <w:sz w:val="20"/>
              </w:rPr>
              <w:t xml:space="preserve"> (</w:t>
            </w:r>
            <w:r w:rsidR="007B2239">
              <w:rPr>
                <w:sz w:val="20"/>
              </w:rPr>
              <w:t>4</w:t>
            </w:r>
            <w:r w:rsidR="004C3A27">
              <w:rPr>
                <w:sz w:val="20"/>
              </w:rPr>
              <w:t xml:space="preserve"> points)</w:t>
            </w:r>
          </w:p>
        </w:tc>
      </w:tr>
      <w:tr w:rsidR="004C3A27" w:rsidRPr="0085143D" w14:paraId="2C530E6B" w14:textId="77777777" w:rsidTr="00C44944">
        <w:trPr>
          <w:cantSplit/>
        </w:trPr>
        <w:tc>
          <w:tcPr>
            <w:tcW w:w="9630" w:type="dxa"/>
            <w:vAlign w:val="bottom"/>
          </w:tcPr>
          <w:p w14:paraId="0B84740D" w14:textId="019BEBDF" w:rsidR="004C3A27" w:rsidRPr="0085143D" w:rsidRDefault="004C3A27" w:rsidP="00881AEA">
            <w:pPr>
              <w:spacing w:after="0"/>
              <w:jc w:val="left"/>
              <w:rPr>
                <w:rFonts w:eastAsia="Times New Roman" w:cs="Times New Roman"/>
                <w:b/>
                <w:color w:val="auto"/>
                <w:sz w:val="20"/>
                <w:szCs w:val="20"/>
              </w:rPr>
            </w:pPr>
            <w:r>
              <w:rPr>
                <w:rFonts w:eastAsia="Times New Roman" w:cs="Times New Roman"/>
                <w:b/>
                <w:color w:val="auto"/>
                <w:sz w:val="20"/>
                <w:szCs w:val="20"/>
              </w:rPr>
              <w:t>Organizational Capabilities (10</w:t>
            </w:r>
            <w:r w:rsidRPr="0085143D">
              <w:rPr>
                <w:rFonts w:eastAsia="Times New Roman" w:cs="Times New Roman"/>
                <w:b/>
                <w:color w:val="auto"/>
                <w:sz w:val="20"/>
                <w:szCs w:val="20"/>
              </w:rPr>
              <w:t xml:space="preserve"> points)</w:t>
            </w:r>
          </w:p>
        </w:tc>
      </w:tr>
      <w:tr w:rsidR="004C3A27" w:rsidRPr="0085143D" w14:paraId="1482A6AE" w14:textId="77777777" w:rsidTr="00C44944">
        <w:trPr>
          <w:cantSplit/>
        </w:trPr>
        <w:tc>
          <w:tcPr>
            <w:tcW w:w="9630" w:type="dxa"/>
            <w:vAlign w:val="bottom"/>
          </w:tcPr>
          <w:p w14:paraId="095CE0E3" w14:textId="5019DD62" w:rsidR="004C3A27" w:rsidRPr="0085143D" w:rsidRDefault="004C3A27" w:rsidP="00881AEA">
            <w:pPr>
              <w:numPr>
                <w:ilvl w:val="0"/>
                <w:numId w:val="35"/>
              </w:numPr>
              <w:tabs>
                <w:tab w:val="num" w:pos="360"/>
              </w:tabs>
              <w:spacing w:after="0"/>
              <w:ind w:left="360"/>
              <w:jc w:val="left"/>
              <w:rPr>
                <w:rFonts w:eastAsia="Times New Roman" w:cs="Times New Roman"/>
                <w:color w:val="auto"/>
                <w:sz w:val="20"/>
                <w:szCs w:val="20"/>
              </w:rPr>
            </w:pPr>
            <w:r w:rsidRPr="0085143D">
              <w:rPr>
                <w:rFonts w:eastAsia="Times New Roman" w:cs="Times New Roman"/>
                <w:color w:val="auto"/>
                <w:sz w:val="20"/>
                <w:szCs w:val="20"/>
              </w:rPr>
              <w:t xml:space="preserve">Proponents have a good track record in </w:t>
            </w:r>
            <w:r>
              <w:rPr>
                <w:rFonts w:eastAsia="Times New Roman" w:cs="Times New Roman"/>
                <w:color w:val="auto"/>
                <w:sz w:val="20"/>
                <w:szCs w:val="20"/>
              </w:rPr>
              <w:t xml:space="preserve">this business and/or </w:t>
            </w:r>
            <w:r w:rsidR="007B2239">
              <w:rPr>
                <w:rFonts w:eastAsia="Times New Roman" w:cs="Times New Roman"/>
                <w:color w:val="auto"/>
                <w:sz w:val="20"/>
                <w:szCs w:val="20"/>
              </w:rPr>
              <w:t>market; (</w:t>
            </w:r>
            <w:r w:rsidR="007B2239">
              <w:rPr>
                <w:sz w:val="20"/>
              </w:rPr>
              <w:t>5 points)</w:t>
            </w:r>
          </w:p>
        </w:tc>
      </w:tr>
      <w:tr w:rsidR="004C3A27" w:rsidRPr="0085143D" w14:paraId="197650F0" w14:textId="77777777" w:rsidTr="00C44944">
        <w:trPr>
          <w:cantSplit/>
        </w:trPr>
        <w:tc>
          <w:tcPr>
            <w:tcW w:w="9630" w:type="dxa"/>
            <w:vAlign w:val="bottom"/>
          </w:tcPr>
          <w:p w14:paraId="73410E17" w14:textId="309EB41B" w:rsidR="004C3A27" w:rsidRPr="0085143D" w:rsidRDefault="004C3A27" w:rsidP="00881AEA">
            <w:pPr>
              <w:numPr>
                <w:ilvl w:val="0"/>
                <w:numId w:val="35"/>
              </w:numPr>
              <w:tabs>
                <w:tab w:val="num" w:pos="360"/>
              </w:tabs>
              <w:spacing w:after="0"/>
              <w:ind w:left="360"/>
              <w:jc w:val="left"/>
              <w:rPr>
                <w:rFonts w:eastAsia="Times New Roman" w:cs="Times New Roman"/>
                <w:color w:val="auto"/>
                <w:sz w:val="20"/>
                <w:szCs w:val="20"/>
              </w:rPr>
            </w:pPr>
            <w:r w:rsidRPr="0085143D">
              <w:rPr>
                <w:rFonts w:eastAsia="Times New Roman" w:cs="Times New Roman"/>
                <w:color w:val="auto"/>
                <w:sz w:val="20"/>
                <w:szCs w:val="20"/>
              </w:rPr>
              <w:t>Proponents have the managerial capacity potential to develo</w:t>
            </w:r>
            <w:r>
              <w:rPr>
                <w:rFonts w:eastAsia="Times New Roman" w:cs="Times New Roman"/>
                <w:color w:val="auto"/>
                <w:sz w:val="20"/>
                <w:szCs w:val="20"/>
              </w:rPr>
              <w:t xml:space="preserve">p and implement the activity intervention; </w:t>
            </w:r>
            <w:r w:rsidR="007B2239">
              <w:rPr>
                <w:sz w:val="20"/>
              </w:rPr>
              <w:t>(5 points)</w:t>
            </w:r>
          </w:p>
        </w:tc>
      </w:tr>
      <w:tr w:rsidR="004C3A27" w:rsidRPr="0085143D" w14:paraId="5DA93B4A" w14:textId="77777777" w:rsidTr="00C44944">
        <w:trPr>
          <w:cantSplit/>
        </w:trPr>
        <w:tc>
          <w:tcPr>
            <w:tcW w:w="9630" w:type="dxa"/>
            <w:vAlign w:val="bottom"/>
          </w:tcPr>
          <w:p w14:paraId="630B6387" w14:textId="06B76D10" w:rsidR="004C3A27" w:rsidRPr="0085143D" w:rsidRDefault="004C3A27" w:rsidP="00881AEA">
            <w:pPr>
              <w:spacing w:after="0"/>
              <w:jc w:val="left"/>
              <w:rPr>
                <w:rFonts w:eastAsia="Times New Roman" w:cs="Times New Roman"/>
                <w:b/>
                <w:color w:val="auto"/>
                <w:sz w:val="20"/>
                <w:szCs w:val="20"/>
              </w:rPr>
            </w:pPr>
            <w:r w:rsidRPr="0085143D">
              <w:rPr>
                <w:rFonts w:eastAsia="Times New Roman" w:cs="Times New Roman"/>
                <w:b/>
                <w:color w:val="auto"/>
                <w:sz w:val="20"/>
                <w:szCs w:val="20"/>
              </w:rPr>
              <w:t xml:space="preserve">Cost Effectiveness </w:t>
            </w:r>
            <w:r>
              <w:rPr>
                <w:rFonts w:eastAsia="Times New Roman" w:cs="Times New Roman"/>
                <w:b/>
                <w:color w:val="auto"/>
                <w:sz w:val="20"/>
                <w:szCs w:val="20"/>
              </w:rPr>
              <w:t>(5 points)</w:t>
            </w:r>
          </w:p>
        </w:tc>
      </w:tr>
      <w:tr w:rsidR="004C3A27" w:rsidRPr="0085143D" w14:paraId="2AD6624F" w14:textId="77777777" w:rsidTr="00C44944">
        <w:trPr>
          <w:cantSplit/>
          <w:trHeight w:val="197"/>
        </w:trPr>
        <w:tc>
          <w:tcPr>
            <w:tcW w:w="9630" w:type="dxa"/>
            <w:shd w:val="clear" w:color="auto" w:fill="auto"/>
            <w:vAlign w:val="bottom"/>
          </w:tcPr>
          <w:p w14:paraId="40547D52" w14:textId="0B0DE56C" w:rsidR="004C3A27" w:rsidRPr="0085143D" w:rsidRDefault="004C3A27" w:rsidP="00881AEA">
            <w:pPr>
              <w:numPr>
                <w:ilvl w:val="0"/>
                <w:numId w:val="37"/>
              </w:numPr>
              <w:tabs>
                <w:tab w:val="num" w:pos="360"/>
              </w:tabs>
              <w:spacing w:after="0"/>
              <w:ind w:left="360" w:hanging="360"/>
              <w:jc w:val="left"/>
              <w:rPr>
                <w:rFonts w:eastAsia="Times New Roman" w:cs="Times New Roman"/>
                <w:color w:val="auto"/>
                <w:sz w:val="20"/>
                <w:szCs w:val="20"/>
              </w:rPr>
            </w:pPr>
            <w:r w:rsidRPr="0085143D">
              <w:rPr>
                <w:rFonts w:eastAsia="Times New Roman" w:cs="Times New Roman"/>
                <w:color w:val="auto"/>
                <w:sz w:val="20"/>
                <w:szCs w:val="20"/>
              </w:rPr>
              <w:t>Proponents proportion of the total cost of the activity.</w:t>
            </w:r>
            <w:r>
              <w:rPr>
                <w:rFonts w:eastAsia="Times New Roman" w:cs="Times New Roman"/>
                <w:color w:val="auto"/>
                <w:sz w:val="20"/>
                <w:szCs w:val="20"/>
              </w:rPr>
              <w:t xml:space="preserve"> (at least 50% of which 25% direct financial contribution) </w:t>
            </w:r>
          </w:p>
        </w:tc>
      </w:tr>
    </w:tbl>
    <w:p w14:paraId="140A6729" w14:textId="5FEFAE0B" w:rsidR="00032E9F" w:rsidRPr="00F71C4B" w:rsidRDefault="003976D0" w:rsidP="00F71C4B">
      <w:pPr>
        <w:spacing w:line="276" w:lineRule="auto"/>
        <w:rPr>
          <w:rFonts w:eastAsia="Times New Roman" w:cs="Arial"/>
          <w:lang w:eastAsia="mk-MK"/>
        </w:rPr>
      </w:pPr>
      <w:r>
        <w:rPr>
          <w:rFonts w:eastAsia="Times New Roman" w:cs="Arial"/>
          <w:lang w:eastAsia="mk-MK"/>
        </w:rPr>
        <w:br/>
      </w:r>
      <w:r w:rsidR="00F71C4B" w:rsidRPr="00F71C4B">
        <w:rPr>
          <w:rFonts w:eastAsia="Times New Roman" w:cs="Arial"/>
          <w:lang w:eastAsia="mk-MK"/>
        </w:rPr>
        <w:t>*</w:t>
      </w:r>
      <w:r w:rsidR="00032E9F" w:rsidRPr="00F71C4B">
        <w:rPr>
          <w:rFonts w:eastAsia="Times New Roman" w:cs="Arial"/>
          <w:lang w:eastAsia="mk-MK"/>
        </w:rPr>
        <w:t xml:space="preserve">Prior to the award of any resultant </w:t>
      </w:r>
      <w:r w:rsidR="00A566D0">
        <w:rPr>
          <w:rFonts w:eastAsia="Times New Roman" w:cs="Arial"/>
          <w:lang w:eastAsia="mk-MK"/>
        </w:rPr>
        <w:t>opportunity fund</w:t>
      </w:r>
      <w:r w:rsidR="00A566D0" w:rsidRPr="00F71C4B">
        <w:rPr>
          <w:rFonts w:eastAsia="Times New Roman" w:cs="Arial"/>
          <w:lang w:eastAsia="mk-MK"/>
        </w:rPr>
        <w:t xml:space="preserve"> </w:t>
      </w:r>
      <w:r w:rsidR="00032E9F" w:rsidRPr="00F71C4B">
        <w:rPr>
          <w:rFonts w:eastAsia="Times New Roman" w:cs="Arial"/>
          <w:lang w:eastAsia="mk-MK"/>
        </w:rPr>
        <w:t xml:space="preserve">agreement, </w:t>
      </w:r>
      <w:r w:rsidR="00A24D37" w:rsidRPr="00F71C4B">
        <w:rPr>
          <w:rFonts w:eastAsia="Times New Roman" w:cs="Arial"/>
          <w:lang w:eastAsia="mk-MK"/>
        </w:rPr>
        <w:t>IME</w:t>
      </w:r>
      <w:r w:rsidR="00032E9F" w:rsidRPr="00F71C4B">
        <w:rPr>
          <w:rFonts w:eastAsia="Times New Roman" w:cs="Arial"/>
          <w:lang w:eastAsia="mk-MK"/>
        </w:rPr>
        <w:t xml:space="preserve"> must obtain prior approval from </w:t>
      </w:r>
      <w:r w:rsidR="00A24D37" w:rsidRPr="00F71C4B">
        <w:rPr>
          <w:rFonts w:eastAsia="Times New Roman" w:cs="Arial"/>
          <w:lang w:eastAsia="mk-MK"/>
        </w:rPr>
        <w:t>SDC</w:t>
      </w:r>
      <w:r w:rsidR="00032E9F" w:rsidRPr="00F71C4B">
        <w:rPr>
          <w:rFonts w:eastAsia="Times New Roman" w:cs="Arial"/>
          <w:lang w:eastAsia="mk-MK"/>
        </w:rPr>
        <w:t>.</w:t>
      </w:r>
      <w:r w:rsidR="00C202F2" w:rsidRPr="00F71C4B">
        <w:rPr>
          <w:rFonts w:eastAsia="Times New Roman" w:cs="Arial"/>
          <w:lang w:eastAsia="mk-MK"/>
        </w:rPr>
        <w:t xml:space="preserve"> </w:t>
      </w:r>
    </w:p>
    <w:p w14:paraId="355255F6" w14:textId="613D1412" w:rsidR="00250721" w:rsidRPr="00321987" w:rsidRDefault="00250721" w:rsidP="00321987">
      <w:pPr>
        <w:pStyle w:val="Heading1"/>
        <w:spacing w:before="0" w:line="276" w:lineRule="auto"/>
        <w:rPr>
          <w:rFonts w:ascii="Gill Sans MT" w:hAnsi="Gill Sans MT"/>
          <w:sz w:val="22"/>
          <w:szCs w:val="22"/>
        </w:rPr>
      </w:pPr>
      <w:r w:rsidRPr="00321987">
        <w:rPr>
          <w:rFonts w:ascii="Gill Sans MT" w:hAnsi="Gill Sans MT"/>
          <w:sz w:val="22"/>
          <w:szCs w:val="22"/>
        </w:rPr>
        <w:t>Award and Administration Information</w:t>
      </w:r>
    </w:p>
    <w:p w14:paraId="32B88853" w14:textId="1404630D" w:rsidR="00250721" w:rsidRPr="00321987" w:rsidRDefault="00250721" w:rsidP="00321987">
      <w:pPr>
        <w:shd w:val="clear" w:color="auto" w:fill="FFFFFF"/>
        <w:spacing w:after="0" w:line="276" w:lineRule="auto"/>
        <w:ind w:right="173"/>
        <w:rPr>
          <w:rFonts w:eastAsia="Times New Roman" w:cs="Arial"/>
          <w:lang w:eastAsia="mk-MK"/>
        </w:rPr>
      </w:pPr>
      <w:r w:rsidRPr="00321987">
        <w:rPr>
          <w:rFonts w:eastAsia="Times New Roman" w:cs="Arial"/>
          <w:lang w:eastAsia="mk-MK"/>
        </w:rPr>
        <w:t xml:space="preserve">Successful applicant(s) will receive written notice from the IME </w:t>
      </w:r>
      <w:r w:rsidR="00413B71">
        <w:rPr>
          <w:rFonts w:eastAsia="Times New Roman" w:cs="Arial"/>
          <w:lang w:eastAsia="mk-MK"/>
        </w:rPr>
        <w:t>Opportunity Fund</w:t>
      </w:r>
      <w:r w:rsidR="00413B71" w:rsidRPr="00321987">
        <w:rPr>
          <w:rFonts w:eastAsia="Times New Roman" w:cs="Arial"/>
          <w:lang w:eastAsia="mk-MK"/>
        </w:rPr>
        <w:t xml:space="preserve"> </w:t>
      </w:r>
      <w:r w:rsidRPr="00321987">
        <w:rPr>
          <w:rFonts w:eastAsia="Times New Roman" w:cs="Arial"/>
          <w:lang w:eastAsia="mk-MK"/>
        </w:rPr>
        <w:t xml:space="preserve">Manager informing the applicant(s) </w:t>
      </w:r>
      <w:r w:rsidR="008F6630">
        <w:rPr>
          <w:rFonts w:eastAsia="Times New Roman" w:cs="Arial"/>
          <w:lang w:eastAsia="mk-MK"/>
        </w:rPr>
        <w:t xml:space="preserve">whether they have passed the Concept Note phase.  </w:t>
      </w:r>
      <w:r w:rsidRPr="00321987">
        <w:rPr>
          <w:rFonts w:eastAsia="Times New Roman" w:cs="Arial"/>
          <w:lang w:eastAsia="mk-MK"/>
        </w:rPr>
        <w:t xml:space="preserve">IME </w:t>
      </w:r>
      <w:r w:rsidR="008F6630">
        <w:rPr>
          <w:rFonts w:eastAsia="Times New Roman" w:cs="Arial"/>
          <w:lang w:eastAsia="mk-MK"/>
        </w:rPr>
        <w:t xml:space="preserve">will inform the applicant if they will make the award with or without </w:t>
      </w:r>
      <w:r w:rsidR="00B67A51">
        <w:rPr>
          <w:rFonts w:eastAsia="Times New Roman" w:cs="Arial"/>
          <w:lang w:eastAsia="mk-MK"/>
        </w:rPr>
        <w:t>negotiation</w:t>
      </w:r>
      <w:r w:rsidR="008F6630">
        <w:rPr>
          <w:rFonts w:eastAsia="Times New Roman" w:cs="Arial"/>
          <w:lang w:eastAsia="mk-MK"/>
        </w:rPr>
        <w:t xml:space="preserve"> to </w:t>
      </w:r>
      <w:r w:rsidR="00321E9F">
        <w:rPr>
          <w:rFonts w:eastAsia="Times New Roman" w:cs="Arial"/>
          <w:lang w:eastAsia="mk-MK"/>
        </w:rPr>
        <w:t>finalize</w:t>
      </w:r>
      <w:r w:rsidR="008F6630">
        <w:rPr>
          <w:rFonts w:eastAsia="Times New Roman" w:cs="Arial"/>
          <w:lang w:eastAsia="mk-MK"/>
        </w:rPr>
        <w:t xml:space="preserve"> the details of the award.</w:t>
      </w:r>
      <w:r w:rsidRPr="00321987">
        <w:rPr>
          <w:rFonts w:eastAsia="Times New Roman" w:cs="Arial"/>
          <w:lang w:eastAsia="mk-MK"/>
        </w:rPr>
        <w:t xml:space="preserve"> Negotiations conducted after the receipt of an application do not constitute an obligation on the part of </w:t>
      </w:r>
      <w:r w:rsidR="00321987" w:rsidRPr="00321987">
        <w:rPr>
          <w:rFonts w:eastAsia="Times New Roman" w:cs="Arial"/>
          <w:lang w:eastAsia="mk-MK"/>
        </w:rPr>
        <w:t>IME</w:t>
      </w:r>
      <w:r w:rsidRPr="00321987">
        <w:rPr>
          <w:rFonts w:eastAsia="Times New Roman" w:cs="Arial"/>
          <w:lang w:eastAsia="mk-MK"/>
        </w:rPr>
        <w:t xml:space="preserve"> to award a </w:t>
      </w:r>
      <w:r w:rsidR="00413B71">
        <w:rPr>
          <w:rFonts w:eastAsia="Times New Roman" w:cs="Arial"/>
          <w:lang w:eastAsia="mk-MK"/>
        </w:rPr>
        <w:t>contract</w:t>
      </w:r>
      <w:r w:rsidRPr="00321987">
        <w:rPr>
          <w:rFonts w:eastAsia="Times New Roman" w:cs="Arial"/>
          <w:lang w:eastAsia="mk-MK"/>
        </w:rPr>
        <w:t xml:space="preserve">. Unsuccessful applicants will be notified in writing by the </w:t>
      </w:r>
      <w:r w:rsidR="00413B71">
        <w:rPr>
          <w:rFonts w:eastAsia="Times New Roman" w:cs="Arial"/>
          <w:lang w:eastAsia="mk-MK"/>
        </w:rPr>
        <w:t>Opportunity Fund</w:t>
      </w:r>
      <w:r w:rsidRPr="00321987">
        <w:rPr>
          <w:rFonts w:eastAsia="Times New Roman" w:cs="Arial"/>
          <w:lang w:eastAsia="mk-MK"/>
        </w:rPr>
        <w:t xml:space="preserve"> Manager.</w:t>
      </w:r>
    </w:p>
    <w:p w14:paraId="70753148" w14:textId="77777777" w:rsidR="00321987" w:rsidRPr="00321987" w:rsidRDefault="00321987" w:rsidP="00321987">
      <w:pPr>
        <w:shd w:val="clear" w:color="auto" w:fill="FFFFFF"/>
        <w:spacing w:after="0" w:line="276" w:lineRule="auto"/>
        <w:ind w:right="173"/>
        <w:rPr>
          <w:rFonts w:eastAsia="Times New Roman" w:cs="Arial"/>
          <w:lang w:eastAsia="mk-MK"/>
        </w:rPr>
      </w:pPr>
    </w:p>
    <w:p w14:paraId="375E7EAB" w14:textId="3F2FDAE5" w:rsidR="00250721" w:rsidRPr="00321987" w:rsidRDefault="00250721" w:rsidP="00321987">
      <w:pPr>
        <w:pStyle w:val="Heading1"/>
        <w:spacing w:before="0" w:line="276" w:lineRule="auto"/>
        <w:rPr>
          <w:rFonts w:ascii="Gill Sans MT" w:eastAsia="Times New Roman" w:hAnsi="Gill Sans MT"/>
          <w:sz w:val="22"/>
          <w:szCs w:val="22"/>
          <w:lang w:eastAsia="mk-MK"/>
        </w:rPr>
      </w:pPr>
      <w:r w:rsidRPr="00321987">
        <w:rPr>
          <w:rFonts w:ascii="Gill Sans MT" w:eastAsia="Times New Roman" w:hAnsi="Gill Sans MT"/>
          <w:sz w:val="22"/>
          <w:szCs w:val="22"/>
          <w:lang w:eastAsia="mk-MK"/>
        </w:rPr>
        <w:t>Annexes</w:t>
      </w:r>
    </w:p>
    <w:p w14:paraId="7AFA01D7" w14:textId="63B56291" w:rsidR="006319B2" w:rsidRPr="008E61BC" w:rsidRDefault="00250721" w:rsidP="00321987">
      <w:pPr>
        <w:spacing w:after="0" w:line="276" w:lineRule="auto"/>
        <w:rPr>
          <w:lang w:eastAsia="mk-MK"/>
        </w:rPr>
      </w:pPr>
      <w:r w:rsidRPr="008E61BC">
        <w:rPr>
          <w:lang w:eastAsia="mk-MK"/>
        </w:rPr>
        <w:t xml:space="preserve">Annex 1: </w:t>
      </w:r>
      <w:r w:rsidR="00A51E54">
        <w:rPr>
          <w:lang w:eastAsia="mk-MK"/>
        </w:rPr>
        <w:t>Concept Note for Opportunity Fund</w:t>
      </w:r>
      <w:r w:rsidR="00321987" w:rsidRPr="008E61BC">
        <w:rPr>
          <w:lang w:eastAsia="mk-MK"/>
        </w:rPr>
        <w:t xml:space="preserve"> </w:t>
      </w:r>
      <w:r w:rsidRPr="00400722">
        <w:rPr>
          <w:lang w:eastAsia="mk-MK"/>
        </w:rPr>
        <w:t xml:space="preserve">and </w:t>
      </w:r>
      <w:r w:rsidR="008E61BC" w:rsidRPr="00400722">
        <w:rPr>
          <w:rFonts w:eastAsia="Times New Roman" w:cs="Arial"/>
          <w:lang w:eastAsia="mk-MK"/>
        </w:rPr>
        <w:t>Annex 1A – Budget Form</w:t>
      </w:r>
      <w:r w:rsidR="008E61BC" w:rsidRPr="008E61BC">
        <w:rPr>
          <w:lang w:eastAsia="mk-MK"/>
        </w:rPr>
        <w:t xml:space="preserve"> </w:t>
      </w:r>
    </w:p>
    <w:p w14:paraId="708A5D0E" w14:textId="77777777" w:rsidR="00351891" w:rsidRDefault="00351891" w:rsidP="00321987">
      <w:pPr>
        <w:spacing w:after="0" w:line="276" w:lineRule="auto"/>
        <w:rPr>
          <w:lang w:eastAsia="mk-MK"/>
        </w:rPr>
      </w:pPr>
    </w:p>
    <w:p w14:paraId="213C5A6A" w14:textId="373278F4" w:rsidR="00351891" w:rsidRDefault="00351891" w:rsidP="00321987">
      <w:pPr>
        <w:pStyle w:val="Heading1"/>
        <w:spacing w:before="0" w:line="276" w:lineRule="auto"/>
        <w:rPr>
          <w:lang w:eastAsia="mk-MK"/>
        </w:rPr>
      </w:pPr>
      <w:r w:rsidRPr="00351891">
        <w:rPr>
          <w:rFonts w:ascii="Gill Sans MT" w:eastAsia="Times New Roman" w:hAnsi="Gill Sans MT"/>
          <w:sz w:val="22"/>
          <w:szCs w:val="22"/>
          <w:lang w:eastAsia="mk-MK"/>
        </w:rPr>
        <w:t>Documents to Submit</w:t>
      </w:r>
    </w:p>
    <w:p w14:paraId="29839D81" w14:textId="6767D9E4" w:rsidR="00A62F3A" w:rsidRPr="00321E9F" w:rsidRDefault="00321E9F" w:rsidP="00351891">
      <w:pPr>
        <w:pStyle w:val="ListParagraph"/>
        <w:numPr>
          <w:ilvl w:val="0"/>
          <w:numId w:val="47"/>
        </w:numPr>
        <w:spacing w:after="0" w:line="276" w:lineRule="auto"/>
        <w:rPr>
          <w:lang w:eastAsia="mk-MK"/>
        </w:rPr>
      </w:pPr>
      <w:r>
        <w:rPr>
          <w:lang w:eastAsia="mk-MK"/>
        </w:rPr>
        <w:t xml:space="preserve">Document for current </w:t>
      </w:r>
      <w:r w:rsidRPr="00321E9F">
        <w:rPr>
          <w:lang w:eastAsia="mk-MK"/>
        </w:rPr>
        <w:t>state of entity</w:t>
      </w:r>
    </w:p>
    <w:p w14:paraId="3B30A213" w14:textId="1820C503" w:rsidR="00321E9F" w:rsidRPr="00321E9F" w:rsidRDefault="00321E9F" w:rsidP="00351891">
      <w:pPr>
        <w:pStyle w:val="ListParagraph"/>
        <w:numPr>
          <w:ilvl w:val="0"/>
          <w:numId w:val="47"/>
        </w:numPr>
        <w:spacing w:after="0" w:line="276" w:lineRule="auto"/>
        <w:rPr>
          <w:lang w:eastAsia="mk-MK"/>
        </w:rPr>
      </w:pPr>
      <w:r w:rsidRPr="00321E9F">
        <w:rPr>
          <w:lang w:eastAsia="mk-MK"/>
        </w:rPr>
        <w:t>Document of registration</w:t>
      </w:r>
    </w:p>
    <w:p w14:paraId="2F5E4FE0" w14:textId="3C32B0AC" w:rsidR="00321E9F" w:rsidRDefault="00321E9F" w:rsidP="00351891">
      <w:pPr>
        <w:pStyle w:val="ListParagraph"/>
        <w:numPr>
          <w:ilvl w:val="0"/>
          <w:numId w:val="47"/>
        </w:numPr>
        <w:spacing w:after="0" w:line="276" w:lineRule="auto"/>
        <w:rPr>
          <w:lang w:eastAsia="mk-MK"/>
        </w:rPr>
      </w:pPr>
      <w:r w:rsidRPr="00321E9F">
        <w:rPr>
          <w:lang w:eastAsia="mk-MK"/>
        </w:rPr>
        <w:t xml:space="preserve">Balance sheet </w:t>
      </w:r>
      <w:r w:rsidR="007B2239">
        <w:rPr>
          <w:lang w:eastAsia="mk-MK"/>
        </w:rPr>
        <w:t xml:space="preserve">from the last </w:t>
      </w:r>
      <w:r w:rsidR="00540782">
        <w:rPr>
          <w:lang w:eastAsia="mk-MK"/>
        </w:rPr>
        <w:t>one</w:t>
      </w:r>
      <w:r w:rsidR="007B2239">
        <w:rPr>
          <w:lang w:eastAsia="mk-MK"/>
        </w:rPr>
        <w:t xml:space="preserve"> financial year </w:t>
      </w:r>
    </w:p>
    <w:p w14:paraId="4D90A98E" w14:textId="7FB0933E" w:rsidR="00321E9F" w:rsidRPr="00321E9F" w:rsidRDefault="00321E9F" w:rsidP="00351891">
      <w:pPr>
        <w:pStyle w:val="ListParagraph"/>
        <w:numPr>
          <w:ilvl w:val="0"/>
          <w:numId w:val="47"/>
        </w:numPr>
        <w:spacing w:after="0" w:line="276" w:lineRule="auto"/>
        <w:rPr>
          <w:lang w:eastAsia="mk-MK"/>
        </w:rPr>
      </w:pPr>
      <w:r w:rsidRPr="00321E9F">
        <w:rPr>
          <w:lang w:eastAsia="mk-MK"/>
        </w:rPr>
        <w:t>Income statement</w:t>
      </w:r>
      <w:r w:rsidR="00540782">
        <w:rPr>
          <w:lang w:eastAsia="mk-MK"/>
        </w:rPr>
        <w:t xml:space="preserve"> from the last one financial year</w:t>
      </w:r>
    </w:p>
    <w:sectPr w:rsidR="00321E9F" w:rsidRPr="00321E9F" w:rsidSect="00833B8B">
      <w:headerReference w:type="even" r:id="rId10"/>
      <w:headerReference w:type="default" r:id="rId11"/>
      <w:footerReference w:type="even" r:id="rId12"/>
      <w:footerReference w:type="default" r:id="rId13"/>
      <w:headerReference w:type="first" r:id="rId14"/>
      <w:footerReference w:type="first" r:id="rId15"/>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8465" w14:textId="77777777" w:rsidR="00551CC5" w:rsidRDefault="00551CC5" w:rsidP="00AD0C8A">
      <w:pPr>
        <w:spacing w:after="0"/>
      </w:pPr>
      <w:r>
        <w:separator/>
      </w:r>
    </w:p>
    <w:p w14:paraId="416EF9D2" w14:textId="77777777" w:rsidR="00551CC5" w:rsidRDefault="00551CC5"/>
  </w:endnote>
  <w:endnote w:type="continuationSeparator" w:id="0">
    <w:p w14:paraId="25171A19" w14:textId="77777777" w:rsidR="00551CC5" w:rsidRDefault="00551CC5" w:rsidP="00AD0C8A">
      <w:pPr>
        <w:spacing w:after="0"/>
      </w:pPr>
      <w:r>
        <w:continuationSeparator/>
      </w:r>
    </w:p>
    <w:p w14:paraId="02510767" w14:textId="77777777" w:rsidR="00551CC5" w:rsidRDefault="0055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bin">
    <w:altName w:val="Calibri"/>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TT) Regular">
    <w:altName w:val="Cambria"/>
    <w:panose1 w:val="00000000000000000000"/>
    <w:charset w:val="00"/>
    <w:family w:val="auto"/>
    <w:notTrueType/>
    <w:pitch w:val="default"/>
    <w:sig w:usb0="00000003"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17AB" w14:textId="77777777" w:rsidR="001312DF" w:rsidRDefault="00131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620F" w14:textId="3DEAE069" w:rsidR="001312DF" w:rsidRDefault="00551CC5"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1312DF">
          <w:t xml:space="preserve">     </w:t>
        </w:r>
      </w:sdtContent>
    </w:sdt>
    <w:r w:rsidR="001312DF">
      <w:tab/>
    </w:r>
    <w:sdt>
      <w:sdtPr>
        <w:id w:val="-519702270"/>
        <w:docPartObj>
          <w:docPartGallery w:val="Page Numbers (Bottom of Page)"/>
          <w:docPartUnique/>
        </w:docPartObj>
      </w:sdtPr>
      <w:sdtEndPr>
        <w:rPr>
          <w:rStyle w:val="PagenumberChar"/>
        </w:rPr>
      </w:sdtEndPr>
      <w:sdtContent>
        <w:r w:rsidR="001312DF" w:rsidRPr="001E71F4">
          <w:rPr>
            <w:rStyle w:val="PagenumberChar"/>
          </w:rPr>
          <w:fldChar w:fldCharType="begin"/>
        </w:r>
        <w:r w:rsidR="001312DF" w:rsidRPr="001E71F4">
          <w:rPr>
            <w:rStyle w:val="PagenumberChar"/>
          </w:rPr>
          <w:instrText xml:space="preserve"> PAGE   \* MERGEFORMAT </w:instrText>
        </w:r>
        <w:r w:rsidR="001312DF" w:rsidRPr="001E71F4">
          <w:rPr>
            <w:rStyle w:val="PagenumberChar"/>
          </w:rPr>
          <w:fldChar w:fldCharType="separate"/>
        </w:r>
        <w:r w:rsidR="001312DF">
          <w:rPr>
            <w:rStyle w:val="PagenumberChar"/>
          </w:rPr>
          <w:t>6</w:t>
        </w:r>
        <w:r w:rsidR="001312DF" w:rsidRPr="001E71F4">
          <w:rPr>
            <w:rStyle w:val="PagenumberChar"/>
          </w:rPr>
          <w:fldChar w:fldCharType="end"/>
        </w:r>
      </w:sdtContent>
    </w:sdt>
    <w:r w:rsidR="001312DF">
      <w:rPr>
        <w:rStyle w:val="PagenumberChar"/>
      </w:rPr>
      <w:t xml:space="preserve"> / </w:t>
    </w:r>
    <w:r w:rsidR="001312DF">
      <w:rPr>
        <w:rStyle w:val="PagenumberChar"/>
      </w:rPr>
      <w:fldChar w:fldCharType="begin"/>
    </w:r>
    <w:r w:rsidR="001312DF">
      <w:rPr>
        <w:rStyle w:val="PagenumberChar"/>
      </w:rPr>
      <w:instrText xml:space="preserve"> NUMPAGES   \* MERGEFORMAT </w:instrText>
    </w:r>
    <w:r w:rsidR="001312DF">
      <w:rPr>
        <w:rStyle w:val="PagenumberChar"/>
      </w:rPr>
      <w:fldChar w:fldCharType="separate"/>
    </w:r>
    <w:r w:rsidR="001312DF">
      <w:rPr>
        <w:rStyle w:val="PagenumberChar"/>
      </w:rPr>
      <w:t>6</w:t>
    </w:r>
    <w:r w:rsidR="001312DF">
      <w:rPr>
        <w:rStyle w:val="PagenumberChar"/>
      </w:rPr>
      <w:fldChar w:fldCharType="end"/>
    </w:r>
    <w:r w:rsidR="001312DF">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717" w14:textId="446421D7" w:rsidR="001312DF" w:rsidRPr="001E4C46" w:rsidRDefault="00551CC5"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1312DF">
          <w:t xml:space="preserve">     </w:t>
        </w:r>
      </w:sdtContent>
    </w:sdt>
    <w:r w:rsidR="001312DF">
      <w:tab/>
    </w:r>
    <w:sdt>
      <w:sdtPr>
        <w:id w:val="-1532725237"/>
        <w:docPartObj>
          <w:docPartGallery w:val="Page Numbers (Bottom of Page)"/>
          <w:docPartUnique/>
        </w:docPartObj>
      </w:sdtPr>
      <w:sdtEndPr>
        <w:rPr>
          <w:rStyle w:val="PagenumberChar"/>
        </w:rPr>
      </w:sdtEndPr>
      <w:sdtContent>
        <w:r w:rsidR="001312DF" w:rsidRPr="001E71F4">
          <w:rPr>
            <w:rStyle w:val="PagenumberChar"/>
          </w:rPr>
          <w:fldChar w:fldCharType="begin"/>
        </w:r>
        <w:r w:rsidR="001312DF" w:rsidRPr="001E71F4">
          <w:rPr>
            <w:rStyle w:val="PagenumberChar"/>
          </w:rPr>
          <w:instrText xml:space="preserve"> PAGE   \* MERGEFORMAT </w:instrText>
        </w:r>
        <w:r w:rsidR="001312DF" w:rsidRPr="001E71F4">
          <w:rPr>
            <w:rStyle w:val="PagenumberChar"/>
          </w:rPr>
          <w:fldChar w:fldCharType="separate"/>
        </w:r>
        <w:r w:rsidR="001312DF">
          <w:rPr>
            <w:rStyle w:val="PagenumberChar"/>
          </w:rPr>
          <w:t>1</w:t>
        </w:r>
        <w:r w:rsidR="001312DF" w:rsidRPr="001E71F4">
          <w:rPr>
            <w:rStyle w:val="PagenumberChar"/>
          </w:rPr>
          <w:fldChar w:fldCharType="end"/>
        </w:r>
      </w:sdtContent>
    </w:sdt>
    <w:r w:rsidR="001312DF">
      <w:rPr>
        <w:rStyle w:val="PagenumberChar"/>
      </w:rPr>
      <w:t xml:space="preserve"> / </w:t>
    </w:r>
    <w:r w:rsidR="001312DF">
      <w:rPr>
        <w:rStyle w:val="PagenumberChar"/>
      </w:rPr>
      <w:fldChar w:fldCharType="begin"/>
    </w:r>
    <w:r w:rsidR="001312DF">
      <w:rPr>
        <w:rStyle w:val="PagenumberChar"/>
      </w:rPr>
      <w:instrText xml:space="preserve"> NUMPAGES   \* MERGEFORMAT </w:instrText>
    </w:r>
    <w:r w:rsidR="001312DF">
      <w:rPr>
        <w:rStyle w:val="PagenumberChar"/>
      </w:rPr>
      <w:fldChar w:fldCharType="separate"/>
    </w:r>
    <w:r w:rsidR="001312DF">
      <w:rPr>
        <w:rStyle w:val="PagenumberChar"/>
      </w:rPr>
      <w:t>6</w:t>
    </w:r>
    <w:r w:rsidR="001312DF">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7577" w14:textId="77777777" w:rsidR="00551CC5" w:rsidRDefault="00551CC5" w:rsidP="00AD0C8A">
      <w:pPr>
        <w:spacing w:after="0"/>
      </w:pPr>
      <w:r>
        <w:separator/>
      </w:r>
    </w:p>
    <w:p w14:paraId="45DC3F81" w14:textId="77777777" w:rsidR="00551CC5" w:rsidRDefault="00551CC5"/>
  </w:footnote>
  <w:footnote w:type="continuationSeparator" w:id="0">
    <w:p w14:paraId="334ACA7C" w14:textId="77777777" w:rsidR="00551CC5" w:rsidRDefault="00551CC5" w:rsidP="00AD0C8A">
      <w:pPr>
        <w:spacing w:after="0"/>
      </w:pPr>
      <w:r>
        <w:continuationSeparator/>
      </w:r>
    </w:p>
    <w:p w14:paraId="5746C5B8" w14:textId="77777777" w:rsidR="00551CC5" w:rsidRDefault="00551CC5"/>
  </w:footnote>
  <w:footnote w:id="1">
    <w:p w14:paraId="7D4739AD" w14:textId="6455D578" w:rsidR="00FB1754" w:rsidRDefault="00FB1754">
      <w:pPr>
        <w:pStyle w:val="FootnoteText"/>
      </w:pPr>
      <w:r>
        <w:rPr>
          <w:rStyle w:val="FootnoteReference"/>
        </w:rPr>
        <w:footnoteRef/>
      </w:r>
      <w:r>
        <w:t xml:space="preserve"> This includes suppliers, service providers etc.  This also includes </w:t>
      </w:r>
      <w:r w:rsidR="00351891">
        <w:t xml:space="preserve">applicants that will apply jointly with other applicants, whereby there is one lead </w:t>
      </w:r>
      <w:r w:rsidR="008C31A0">
        <w:t>applicant,</w:t>
      </w:r>
      <w:r w:rsidR="00351891">
        <w:t xml:space="preserve"> but the other companies are included in a formal or non-formal alliance.  In this case, the applicant must have a MOU with the other applicants and the application must lead to improved results for </w:t>
      </w:r>
      <w:proofErr w:type="gramStart"/>
      <w:r w:rsidR="00351891">
        <w:t>all of</w:t>
      </w:r>
      <w:proofErr w:type="gramEnd"/>
      <w:r w:rsidR="00351891">
        <w:t xml:space="preserve"> the alliance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0C08" w14:textId="77777777" w:rsidR="001312DF" w:rsidRDefault="00131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D267" w14:textId="77777777" w:rsidR="001312DF" w:rsidRDefault="00131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64A0" w14:textId="77777777" w:rsidR="001312DF" w:rsidRDefault="001312DF" w:rsidP="0006416B">
    <w:pPr>
      <w:spacing w:after="0" w:line="120" w:lineRule="auto"/>
    </w:pPr>
    <w:r>
      <w:rPr>
        <w:noProof/>
      </w:rPr>
      <w:drawing>
        <wp:anchor distT="0" distB="0" distL="114300" distR="114300" simplePos="0" relativeHeight="251659264" behindDoc="1" locked="0" layoutInCell="1" allowOverlap="1" wp14:anchorId="15F1E2EC" wp14:editId="7B9B2A02">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Bullet-one"/>
      </v:shape>
    </w:pict>
  </w:numPicBullet>
  <w:numPicBullet w:numPicBulletId="1">
    <w:pict>
      <v:shape id="_x0000_i1035" type="#_x0000_t75" style="width:9.75pt;height:9.75pt" o:bullet="t">
        <v:imagedata r:id="rId2" o:title="Bullet-two"/>
      </v:shape>
    </w:pict>
  </w:numPicBullet>
  <w:abstractNum w:abstractNumId="0" w15:restartNumberingAfterBreak="0">
    <w:nsid w:val="9971959A"/>
    <w:multiLevelType w:val="hybridMultilevel"/>
    <w:tmpl w:val="CE1BD4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853FE"/>
    <w:multiLevelType w:val="hybridMultilevel"/>
    <w:tmpl w:val="77EAE3CE"/>
    <w:lvl w:ilvl="0" w:tplc="D09C83BE">
      <w:start w:val="1"/>
      <w:numFmt w:val="decimal"/>
      <w:lvlText w:val="%1."/>
      <w:lvlJc w:val="left"/>
      <w:pPr>
        <w:ind w:left="360" w:hanging="360"/>
      </w:pPr>
      <w:rPr>
        <w:rFonts w:eastAsia="Cabin" w:cs="Cabi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E35C9"/>
    <w:multiLevelType w:val="hybridMultilevel"/>
    <w:tmpl w:val="8400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0540D9"/>
    <w:multiLevelType w:val="hybridMultilevel"/>
    <w:tmpl w:val="FBDE2156"/>
    <w:lvl w:ilvl="0" w:tplc="4386E7B8">
      <w:start w:val="1"/>
      <w:numFmt w:val="bullet"/>
      <w:lvlText w:val=""/>
      <w:lvlJc w:val="left"/>
      <w:pPr>
        <w:ind w:left="767" w:hanging="360"/>
      </w:pPr>
      <w:rPr>
        <w:rFonts w:ascii="Symbol" w:hAnsi="Symbol" w:hint="default"/>
        <w:color w:val="05C3DE" w:themeColor="accent1"/>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746313"/>
    <w:multiLevelType w:val="multilevel"/>
    <w:tmpl w:val="46488ED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BD10F3"/>
    <w:multiLevelType w:val="hybridMultilevel"/>
    <w:tmpl w:val="679660D2"/>
    <w:lvl w:ilvl="0" w:tplc="C652D264">
      <w:start w:val="1"/>
      <w:numFmt w:val="bullet"/>
      <w:lvlText w:val=""/>
      <w:lvlJc w:val="left"/>
      <w:pPr>
        <w:ind w:left="720" w:hanging="360"/>
      </w:pPr>
      <w:rPr>
        <w:rFonts w:ascii="Symbol" w:hAnsi="Symbol" w:hint="default"/>
        <w:color w:val="05C3D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7D5"/>
    <w:multiLevelType w:val="hybridMultilevel"/>
    <w:tmpl w:val="D34E1814"/>
    <w:lvl w:ilvl="0" w:tplc="F998D7F4">
      <w:start w:val="1"/>
      <w:numFmt w:val="bullet"/>
      <w:lvlText w:val="o"/>
      <w:lvlJc w:val="left"/>
      <w:pPr>
        <w:ind w:left="720" w:hanging="360"/>
      </w:pPr>
      <w:rPr>
        <w:rFonts w:ascii="Courier New" w:hAnsi="Courier New" w:cs="Courier New" w:hint="default"/>
        <w:b w:val="0"/>
        <w:bCs w:val="0"/>
        <w:i w:val="0"/>
        <w:iCs w:val="0"/>
        <w:caps w:val="0"/>
        <w:strike w:val="0"/>
        <w:dstrike w:val="0"/>
        <w:vanish w:val="0"/>
        <w:color w:val="C00000"/>
        <w:spacing w:val="0"/>
        <w:kern w:val="0"/>
        <w:position w:val="0"/>
        <w:sz w:val="18"/>
        <w:szCs w:val="18"/>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6957"/>
    <w:multiLevelType w:val="multilevel"/>
    <w:tmpl w:val="76E23C02"/>
    <w:lvl w:ilvl="0">
      <w:start w:val="1"/>
      <w:numFmt w:val="bullet"/>
      <w:lvlText w:val=""/>
      <w:lvlJc w:val="left"/>
      <w:pPr>
        <w:tabs>
          <w:tab w:val="num" w:pos="3787"/>
        </w:tabs>
        <w:ind w:left="3787" w:hanging="360"/>
      </w:pPr>
      <w:rPr>
        <w:rFonts w:ascii="Wingdings" w:hAnsi="Wingdings" w:hint="default"/>
        <w:sz w:val="20"/>
      </w:rPr>
    </w:lvl>
    <w:lvl w:ilvl="1" w:tentative="1">
      <w:start w:val="1"/>
      <w:numFmt w:val="bullet"/>
      <w:lvlText w:val=""/>
      <w:lvlJc w:val="left"/>
      <w:pPr>
        <w:tabs>
          <w:tab w:val="num" w:pos="4507"/>
        </w:tabs>
        <w:ind w:left="4507" w:hanging="360"/>
      </w:pPr>
      <w:rPr>
        <w:rFonts w:ascii="Wingdings" w:hAnsi="Wingdings" w:hint="default"/>
        <w:sz w:val="20"/>
      </w:rPr>
    </w:lvl>
    <w:lvl w:ilvl="2" w:tentative="1">
      <w:start w:val="1"/>
      <w:numFmt w:val="bullet"/>
      <w:lvlText w:val=""/>
      <w:lvlJc w:val="left"/>
      <w:pPr>
        <w:tabs>
          <w:tab w:val="num" w:pos="5227"/>
        </w:tabs>
        <w:ind w:left="5227" w:hanging="360"/>
      </w:pPr>
      <w:rPr>
        <w:rFonts w:ascii="Wingdings" w:hAnsi="Wingdings" w:hint="default"/>
        <w:sz w:val="20"/>
      </w:rPr>
    </w:lvl>
    <w:lvl w:ilvl="3" w:tentative="1">
      <w:start w:val="1"/>
      <w:numFmt w:val="bullet"/>
      <w:lvlText w:val=""/>
      <w:lvlJc w:val="left"/>
      <w:pPr>
        <w:tabs>
          <w:tab w:val="num" w:pos="5947"/>
        </w:tabs>
        <w:ind w:left="5947" w:hanging="360"/>
      </w:pPr>
      <w:rPr>
        <w:rFonts w:ascii="Wingdings" w:hAnsi="Wingdings" w:hint="default"/>
        <w:sz w:val="20"/>
      </w:rPr>
    </w:lvl>
    <w:lvl w:ilvl="4" w:tentative="1">
      <w:start w:val="1"/>
      <w:numFmt w:val="bullet"/>
      <w:lvlText w:val=""/>
      <w:lvlJc w:val="left"/>
      <w:pPr>
        <w:tabs>
          <w:tab w:val="num" w:pos="6667"/>
        </w:tabs>
        <w:ind w:left="6667" w:hanging="360"/>
      </w:pPr>
      <w:rPr>
        <w:rFonts w:ascii="Wingdings" w:hAnsi="Wingdings" w:hint="default"/>
        <w:sz w:val="20"/>
      </w:rPr>
    </w:lvl>
    <w:lvl w:ilvl="5" w:tentative="1">
      <w:start w:val="1"/>
      <w:numFmt w:val="bullet"/>
      <w:lvlText w:val=""/>
      <w:lvlJc w:val="left"/>
      <w:pPr>
        <w:tabs>
          <w:tab w:val="num" w:pos="7387"/>
        </w:tabs>
        <w:ind w:left="7387" w:hanging="360"/>
      </w:pPr>
      <w:rPr>
        <w:rFonts w:ascii="Wingdings" w:hAnsi="Wingdings" w:hint="default"/>
        <w:sz w:val="20"/>
      </w:rPr>
    </w:lvl>
    <w:lvl w:ilvl="6" w:tentative="1">
      <w:start w:val="1"/>
      <w:numFmt w:val="bullet"/>
      <w:lvlText w:val=""/>
      <w:lvlJc w:val="left"/>
      <w:pPr>
        <w:tabs>
          <w:tab w:val="num" w:pos="8107"/>
        </w:tabs>
        <w:ind w:left="8107" w:hanging="360"/>
      </w:pPr>
      <w:rPr>
        <w:rFonts w:ascii="Wingdings" w:hAnsi="Wingdings" w:hint="default"/>
        <w:sz w:val="20"/>
      </w:rPr>
    </w:lvl>
    <w:lvl w:ilvl="7" w:tentative="1">
      <w:start w:val="1"/>
      <w:numFmt w:val="bullet"/>
      <w:lvlText w:val=""/>
      <w:lvlJc w:val="left"/>
      <w:pPr>
        <w:tabs>
          <w:tab w:val="num" w:pos="8827"/>
        </w:tabs>
        <w:ind w:left="8827" w:hanging="360"/>
      </w:pPr>
      <w:rPr>
        <w:rFonts w:ascii="Wingdings" w:hAnsi="Wingdings" w:hint="default"/>
        <w:sz w:val="20"/>
      </w:rPr>
    </w:lvl>
    <w:lvl w:ilvl="8" w:tentative="1">
      <w:start w:val="1"/>
      <w:numFmt w:val="bullet"/>
      <w:lvlText w:val=""/>
      <w:lvlJc w:val="left"/>
      <w:pPr>
        <w:tabs>
          <w:tab w:val="num" w:pos="9547"/>
        </w:tabs>
        <w:ind w:left="9547" w:hanging="360"/>
      </w:pPr>
      <w:rPr>
        <w:rFonts w:ascii="Wingdings" w:hAnsi="Wingdings" w:hint="default"/>
        <w:sz w:val="20"/>
      </w:rPr>
    </w:lvl>
  </w:abstractNum>
  <w:abstractNum w:abstractNumId="11" w15:restartNumberingAfterBreak="0">
    <w:nsid w:val="22EB4B20"/>
    <w:multiLevelType w:val="hybridMultilevel"/>
    <w:tmpl w:val="986AA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3F5217C"/>
    <w:multiLevelType w:val="hybridMultilevel"/>
    <w:tmpl w:val="6F3853C0"/>
    <w:lvl w:ilvl="0" w:tplc="0409000F">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084CB1"/>
    <w:multiLevelType w:val="hybridMultilevel"/>
    <w:tmpl w:val="B0F07D4C"/>
    <w:lvl w:ilvl="0" w:tplc="57083A70">
      <w:start w:val="1"/>
      <w:numFmt w:val="bullet"/>
      <w:pStyle w:val="TableBullet"/>
      <w:lvlText w:val=""/>
      <w:lvlJc w:val="left"/>
      <w:pPr>
        <w:ind w:left="432" w:hanging="360"/>
      </w:pPr>
      <w:rPr>
        <w:rFonts w:ascii="Symbol" w:hAnsi="Symbol" w:hint="default"/>
        <w:color w:val="D52B1E"/>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670EF"/>
    <w:multiLevelType w:val="hybridMultilevel"/>
    <w:tmpl w:val="2C3C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29CB0187"/>
    <w:multiLevelType w:val="hybridMultilevel"/>
    <w:tmpl w:val="5C1C0500"/>
    <w:lvl w:ilvl="0" w:tplc="611E2BAA">
      <w:start w:val="1"/>
      <w:numFmt w:val="lowerLetter"/>
      <w:lvlText w:val="(%1)"/>
      <w:lvlJc w:val="left"/>
      <w:pPr>
        <w:ind w:left="720" w:hanging="360"/>
      </w:pPr>
      <w:rPr>
        <w:rFonts w:hint="default"/>
      </w:rPr>
    </w:lvl>
    <w:lvl w:ilvl="1" w:tplc="34AAE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F68FC"/>
    <w:multiLevelType w:val="hybridMultilevel"/>
    <w:tmpl w:val="D5CA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BAF52"/>
    <w:multiLevelType w:val="hybridMultilevel"/>
    <w:tmpl w:val="9107A4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BD3DA8"/>
    <w:multiLevelType w:val="multilevel"/>
    <w:tmpl w:val="27CE51F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ED00E3"/>
    <w:multiLevelType w:val="multilevel"/>
    <w:tmpl w:val="46488ED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CB24E0"/>
    <w:multiLevelType w:val="hybridMultilevel"/>
    <w:tmpl w:val="C052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C5262"/>
    <w:multiLevelType w:val="hybridMultilevel"/>
    <w:tmpl w:val="2940E80C"/>
    <w:lvl w:ilvl="0" w:tplc="0F4891A6">
      <w:start w:val="2"/>
      <w:numFmt w:val="bullet"/>
      <w:lvlText w:val="-"/>
      <w:lvlJc w:val="left"/>
      <w:pPr>
        <w:ind w:left="720" w:hanging="360"/>
      </w:pPr>
      <w:rPr>
        <w:rFonts w:ascii="Gill Sans MT" w:eastAsiaTheme="minorHAnsi"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9B7BF2"/>
    <w:multiLevelType w:val="hybridMultilevel"/>
    <w:tmpl w:val="AB1C0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7456BD"/>
    <w:multiLevelType w:val="singleLevel"/>
    <w:tmpl w:val="6C8E08E2"/>
    <w:lvl w:ilvl="0">
      <w:start w:val="1"/>
      <w:numFmt w:val="decimal"/>
      <w:lvlText w:val="%1."/>
      <w:lvlJc w:val="left"/>
      <w:pPr>
        <w:tabs>
          <w:tab w:val="num" w:pos="720"/>
        </w:tabs>
        <w:ind w:left="720" w:hanging="720"/>
      </w:pPr>
      <w:rPr>
        <w:rFonts w:hint="default"/>
      </w:rPr>
    </w:lvl>
  </w:abstractNum>
  <w:abstractNum w:abstractNumId="26" w15:restartNumberingAfterBreak="0">
    <w:nsid w:val="479B37C2"/>
    <w:multiLevelType w:val="hybridMultilevel"/>
    <w:tmpl w:val="78ACF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7543E"/>
    <w:multiLevelType w:val="hybridMultilevel"/>
    <w:tmpl w:val="89341C18"/>
    <w:lvl w:ilvl="0" w:tplc="0FB4EB44">
      <w:start w:val="1"/>
      <w:numFmt w:val="bullet"/>
      <w:pStyle w:val="ListBullet"/>
      <w:lvlText w:val=""/>
      <w:lvlJc w:val="left"/>
      <w:pPr>
        <w:ind w:left="720" w:hanging="360"/>
      </w:pPr>
      <w:rPr>
        <w:rFonts w:ascii="Symbol" w:hAnsi="Symbol" w:hint="default"/>
        <w:color w:val="D52B1E"/>
        <w:sz w:val="20"/>
      </w:rPr>
    </w:lvl>
    <w:lvl w:ilvl="1" w:tplc="04090003">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B7B88"/>
    <w:multiLevelType w:val="hybridMultilevel"/>
    <w:tmpl w:val="D8783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BE1C11"/>
    <w:multiLevelType w:val="hybridMultilevel"/>
    <w:tmpl w:val="1333F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2" w15:restartNumberingAfterBreak="0">
    <w:nsid w:val="57814AAB"/>
    <w:multiLevelType w:val="hybridMultilevel"/>
    <w:tmpl w:val="9D66FE4A"/>
    <w:lvl w:ilvl="0" w:tplc="0F4891A6">
      <w:start w:val="2"/>
      <w:numFmt w:val="bullet"/>
      <w:lvlText w:val="-"/>
      <w:lvlJc w:val="left"/>
      <w:pPr>
        <w:ind w:left="1494" w:hanging="360"/>
      </w:pPr>
      <w:rPr>
        <w:rFonts w:ascii="Gill Sans MT" w:eastAsiaTheme="minorHAnsi" w:hAnsi="Gill Sans MT" w:cs="Cabin"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57897604"/>
    <w:multiLevelType w:val="hybridMultilevel"/>
    <w:tmpl w:val="77209A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5"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393654"/>
    <w:multiLevelType w:val="multilevel"/>
    <w:tmpl w:val="C6CC1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B37102"/>
    <w:multiLevelType w:val="hybridMultilevel"/>
    <w:tmpl w:val="4F886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9" w15:restartNumberingAfterBreak="0">
    <w:nsid w:val="65EF4AD6"/>
    <w:multiLevelType w:val="hybridMultilevel"/>
    <w:tmpl w:val="B50C2E30"/>
    <w:lvl w:ilvl="0" w:tplc="595A3604">
      <w:start w:val="1"/>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4559A"/>
    <w:multiLevelType w:val="multilevel"/>
    <w:tmpl w:val="9702BE6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1" w15:restartNumberingAfterBreak="0">
    <w:nsid w:val="6C91334E"/>
    <w:multiLevelType w:val="hybridMultilevel"/>
    <w:tmpl w:val="0E8093D6"/>
    <w:lvl w:ilvl="0" w:tplc="6C8E08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B36E50"/>
    <w:multiLevelType w:val="hybridMultilevel"/>
    <w:tmpl w:val="67D4B026"/>
    <w:lvl w:ilvl="0" w:tplc="975E5D94">
      <w:start w:val="1"/>
      <w:numFmt w:val="bullet"/>
      <w:pStyle w:val="TableBullet2"/>
      <w:lvlText w:val="○"/>
      <w:lvlJc w:val="left"/>
      <w:pPr>
        <w:ind w:left="720" w:hanging="360"/>
      </w:pPr>
      <w:rPr>
        <w:rFonts w:ascii="Times New Roman" w:hAnsi="Times New Roman" w:cs="Times New Roman" w:hint="default"/>
        <w:b w:val="0"/>
        <w:bCs w:val="0"/>
        <w:i w:val="0"/>
        <w:iCs w:val="0"/>
        <w:caps w:val="0"/>
        <w:strike w:val="0"/>
        <w:dstrike w:val="0"/>
        <w:vanish w:val="0"/>
        <w:color w:val="64A70B" w:themeColor="accent2"/>
        <w:spacing w:val="0"/>
        <w:kern w:val="0"/>
        <w:position w:val="0"/>
        <w:sz w:val="18"/>
        <w:szCs w:val="18"/>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C118A"/>
    <w:multiLevelType w:val="hybridMultilevel"/>
    <w:tmpl w:val="4D9B38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7C5CB3"/>
    <w:multiLevelType w:val="multilevel"/>
    <w:tmpl w:val="18F02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3"/>
  </w:num>
  <w:num w:numId="3">
    <w:abstractNumId w:val="35"/>
  </w:num>
  <w:num w:numId="4">
    <w:abstractNumId w:val="44"/>
  </w:num>
  <w:num w:numId="5">
    <w:abstractNumId w:val="3"/>
  </w:num>
  <w:num w:numId="6">
    <w:abstractNumId w:val="15"/>
  </w:num>
  <w:num w:numId="7">
    <w:abstractNumId w:val="34"/>
  </w:num>
  <w:num w:numId="8">
    <w:abstractNumId w:val="31"/>
  </w:num>
  <w:num w:numId="9">
    <w:abstractNumId w:val="38"/>
  </w:num>
  <w:num w:numId="10">
    <w:abstractNumId w:val="7"/>
  </w:num>
  <w:num w:numId="11">
    <w:abstractNumId w:val="5"/>
  </w:num>
  <w:num w:numId="12">
    <w:abstractNumId w:val="45"/>
  </w:num>
  <w:num w:numId="13">
    <w:abstractNumId w:val="28"/>
  </w:num>
  <w:num w:numId="14">
    <w:abstractNumId w:val="4"/>
  </w:num>
  <w:num w:numId="15">
    <w:abstractNumId w:val="8"/>
  </w:num>
  <w:num w:numId="16">
    <w:abstractNumId w:val="2"/>
  </w:num>
  <w:num w:numId="17">
    <w:abstractNumId w:val="10"/>
  </w:num>
  <w:num w:numId="18">
    <w:abstractNumId w:val="17"/>
  </w:num>
  <w:num w:numId="19">
    <w:abstractNumId w:val="6"/>
  </w:num>
  <w:num w:numId="20">
    <w:abstractNumId w:val="19"/>
  </w:num>
  <w:num w:numId="21">
    <w:abstractNumId w:val="24"/>
  </w:num>
  <w:num w:numId="22">
    <w:abstractNumId w:val="20"/>
  </w:num>
  <w:num w:numId="23">
    <w:abstractNumId w:val="36"/>
  </w:num>
  <w:num w:numId="24">
    <w:abstractNumId w:val="40"/>
  </w:num>
  <w:num w:numId="25">
    <w:abstractNumId w:val="18"/>
  </w:num>
  <w:num w:numId="26">
    <w:abstractNumId w:val="43"/>
  </w:num>
  <w:num w:numId="27">
    <w:abstractNumId w:val="21"/>
  </w:num>
  <w:num w:numId="28">
    <w:abstractNumId w:val="0"/>
  </w:num>
  <w:num w:numId="29">
    <w:abstractNumId w:val="30"/>
  </w:num>
  <w:num w:numId="30">
    <w:abstractNumId w:val="11"/>
  </w:num>
  <w:num w:numId="31">
    <w:abstractNumId w:val="13"/>
  </w:num>
  <w:num w:numId="32">
    <w:abstractNumId w:val="39"/>
  </w:num>
  <w:num w:numId="33">
    <w:abstractNumId w:val="25"/>
  </w:num>
  <w:num w:numId="34">
    <w:abstractNumId w:val="37"/>
  </w:num>
  <w:num w:numId="35">
    <w:abstractNumId w:val="26"/>
  </w:num>
  <w:num w:numId="36">
    <w:abstractNumId w:val="33"/>
  </w:num>
  <w:num w:numId="37">
    <w:abstractNumId w:val="41"/>
  </w:num>
  <w:num w:numId="38">
    <w:abstractNumId w:val="12"/>
  </w:num>
  <w:num w:numId="39">
    <w:abstractNumId w:val="42"/>
  </w:num>
  <w:num w:numId="40">
    <w:abstractNumId w:val="9"/>
  </w:num>
  <w:num w:numId="41">
    <w:abstractNumId w:val="1"/>
  </w:num>
  <w:num w:numId="42">
    <w:abstractNumId w:val="16"/>
  </w:num>
  <w:num w:numId="43">
    <w:abstractNumId w:val="29"/>
  </w:num>
  <w:num w:numId="44">
    <w:abstractNumId w:val="22"/>
  </w:num>
  <w:num w:numId="45">
    <w:abstractNumId w:val="5"/>
  </w:num>
  <w:num w:numId="46">
    <w:abstractNumId w:val="32"/>
  </w:num>
  <w:num w:numId="4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1A"/>
    <w:rsid w:val="00001D3B"/>
    <w:rsid w:val="00002671"/>
    <w:rsid w:val="00004250"/>
    <w:rsid w:val="0000567C"/>
    <w:rsid w:val="000064C5"/>
    <w:rsid w:val="00012917"/>
    <w:rsid w:val="000239CF"/>
    <w:rsid w:val="000244A6"/>
    <w:rsid w:val="000270B9"/>
    <w:rsid w:val="00030D5D"/>
    <w:rsid w:val="00032E9F"/>
    <w:rsid w:val="00042C73"/>
    <w:rsid w:val="00044279"/>
    <w:rsid w:val="00054963"/>
    <w:rsid w:val="00055DA6"/>
    <w:rsid w:val="0006416B"/>
    <w:rsid w:val="00071DCE"/>
    <w:rsid w:val="000A2B72"/>
    <w:rsid w:val="000B04B9"/>
    <w:rsid w:val="000B4912"/>
    <w:rsid w:val="000B70F6"/>
    <w:rsid w:val="000C5CD7"/>
    <w:rsid w:val="000E0E78"/>
    <w:rsid w:val="000E6199"/>
    <w:rsid w:val="001076BC"/>
    <w:rsid w:val="00116E5E"/>
    <w:rsid w:val="00120C69"/>
    <w:rsid w:val="00122C19"/>
    <w:rsid w:val="0012615F"/>
    <w:rsid w:val="001312DF"/>
    <w:rsid w:val="00131375"/>
    <w:rsid w:val="001416C0"/>
    <w:rsid w:val="00142AAF"/>
    <w:rsid w:val="00146A50"/>
    <w:rsid w:val="001476B9"/>
    <w:rsid w:val="0015140B"/>
    <w:rsid w:val="001656A6"/>
    <w:rsid w:val="001656B0"/>
    <w:rsid w:val="001771B3"/>
    <w:rsid w:val="00181032"/>
    <w:rsid w:val="001921DB"/>
    <w:rsid w:val="00194667"/>
    <w:rsid w:val="00195125"/>
    <w:rsid w:val="00196A76"/>
    <w:rsid w:val="001A1449"/>
    <w:rsid w:val="001B09C1"/>
    <w:rsid w:val="001B1396"/>
    <w:rsid w:val="001B3BA4"/>
    <w:rsid w:val="001C5A03"/>
    <w:rsid w:val="001C78CA"/>
    <w:rsid w:val="001D3FF8"/>
    <w:rsid w:val="001E4C46"/>
    <w:rsid w:val="001E71F4"/>
    <w:rsid w:val="001F2EEC"/>
    <w:rsid w:val="0020019F"/>
    <w:rsid w:val="00200EF5"/>
    <w:rsid w:val="00204E2C"/>
    <w:rsid w:val="00214EBE"/>
    <w:rsid w:val="00236320"/>
    <w:rsid w:val="00240D26"/>
    <w:rsid w:val="0024224C"/>
    <w:rsid w:val="00247039"/>
    <w:rsid w:val="0024769B"/>
    <w:rsid w:val="00250721"/>
    <w:rsid w:val="00254119"/>
    <w:rsid w:val="0026278B"/>
    <w:rsid w:val="00266671"/>
    <w:rsid w:val="00270769"/>
    <w:rsid w:val="002769E2"/>
    <w:rsid w:val="00281910"/>
    <w:rsid w:val="002837B6"/>
    <w:rsid w:val="00284BCA"/>
    <w:rsid w:val="00285354"/>
    <w:rsid w:val="002915AE"/>
    <w:rsid w:val="00293319"/>
    <w:rsid w:val="002A3BDF"/>
    <w:rsid w:val="002B2530"/>
    <w:rsid w:val="002B594D"/>
    <w:rsid w:val="002B5F23"/>
    <w:rsid w:val="002D7A0C"/>
    <w:rsid w:val="002E1E06"/>
    <w:rsid w:val="002E5399"/>
    <w:rsid w:val="002F37F7"/>
    <w:rsid w:val="00306A0D"/>
    <w:rsid w:val="00311602"/>
    <w:rsid w:val="00321987"/>
    <w:rsid w:val="00321E9F"/>
    <w:rsid w:val="0032471A"/>
    <w:rsid w:val="00325F30"/>
    <w:rsid w:val="003373C8"/>
    <w:rsid w:val="003434F7"/>
    <w:rsid w:val="00344617"/>
    <w:rsid w:val="00351891"/>
    <w:rsid w:val="0037367C"/>
    <w:rsid w:val="003976D0"/>
    <w:rsid w:val="003A0DA0"/>
    <w:rsid w:val="003A2937"/>
    <w:rsid w:val="003A3C9A"/>
    <w:rsid w:val="003B165C"/>
    <w:rsid w:val="003C6FC6"/>
    <w:rsid w:val="003D1992"/>
    <w:rsid w:val="003E20F4"/>
    <w:rsid w:val="00400722"/>
    <w:rsid w:val="00410A4E"/>
    <w:rsid w:val="00413968"/>
    <w:rsid w:val="00413B71"/>
    <w:rsid w:val="00415A36"/>
    <w:rsid w:val="004176CE"/>
    <w:rsid w:val="004216E6"/>
    <w:rsid w:val="00432B62"/>
    <w:rsid w:val="00433154"/>
    <w:rsid w:val="0044124A"/>
    <w:rsid w:val="00441412"/>
    <w:rsid w:val="00445E2E"/>
    <w:rsid w:val="00447C9C"/>
    <w:rsid w:val="004537E9"/>
    <w:rsid w:val="00453850"/>
    <w:rsid w:val="004572CA"/>
    <w:rsid w:val="00457D27"/>
    <w:rsid w:val="00464AB2"/>
    <w:rsid w:val="00477909"/>
    <w:rsid w:val="004A4B44"/>
    <w:rsid w:val="004B2904"/>
    <w:rsid w:val="004B5992"/>
    <w:rsid w:val="004C3A27"/>
    <w:rsid w:val="004D0AC4"/>
    <w:rsid w:val="004E21C5"/>
    <w:rsid w:val="004E7355"/>
    <w:rsid w:val="004E7A0F"/>
    <w:rsid w:val="004F0596"/>
    <w:rsid w:val="005048E2"/>
    <w:rsid w:val="00515549"/>
    <w:rsid w:val="0051655B"/>
    <w:rsid w:val="0052788C"/>
    <w:rsid w:val="00540782"/>
    <w:rsid w:val="00543C91"/>
    <w:rsid w:val="00551CC5"/>
    <w:rsid w:val="00555185"/>
    <w:rsid w:val="00560325"/>
    <w:rsid w:val="00560D76"/>
    <w:rsid w:val="00564FDE"/>
    <w:rsid w:val="00566593"/>
    <w:rsid w:val="0057335C"/>
    <w:rsid w:val="005777F8"/>
    <w:rsid w:val="005814A7"/>
    <w:rsid w:val="005857A7"/>
    <w:rsid w:val="0059682D"/>
    <w:rsid w:val="005A5E49"/>
    <w:rsid w:val="005A71B1"/>
    <w:rsid w:val="005C5B10"/>
    <w:rsid w:val="005D253B"/>
    <w:rsid w:val="005D27B5"/>
    <w:rsid w:val="005E5949"/>
    <w:rsid w:val="005E76BA"/>
    <w:rsid w:val="005E7F8E"/>
    <w:rsid w:val="005F08B2"/>
    <w:rsid w:val="005F749A"/>
    <w:rsid w:val="00606EE0"/>
    <w:rsid w:val="00611264"/>
    <w:rsid w:val="00612280"/>
    <w:rsid w:val="006129B5"/>
    <w:rsid w:val="006165A6"/>
    <w:rsid w:val="00623F99"/>
    <w:rsid w:val="006319B2"/>
    <w:rsid w:val="00664B8E"/>
    <w:rsid w:val="00664FB3"/>
    <w:rsid w:val="00670EB2"/>
    <w:rsid w:val="00671588"/>
    <w:rsid w:val="00673D6F"/>
    <w:rsid w:val="00676E57"/>
    <w:rsid w:val="006814EC"/>
    <w:rsid w:val="00690273"/>
    <w:rsid w:val="006956B7"/>
    <w:rsid w:val="006A140D"/>
    <w:rsid w:val="006A5789"/>
    <w:rsid w:val="006A7A4C"/>
    <w:rsid w:val="006B3860"/>
    <w:rsid w:val="006B48C5"/>
    <w:rsid w:val="006B6617"/>
    <w:rsid w:val="006C37DF"/>
    <w:rsid w:val="006C5B53"/>
    <w:rsid w:val="006D3561"/>
    <w:rsid w:val="006E14BE"/>
    <w:rsid w:val="006E4E9D"/>
    <w:rsid w:val="006E7401"/>
    <w:rsid w:val="006F0388"/>
    <w:rsid w:val="006F48B6"/>
    <w:rsid w:val="007003DA"/>
    <w:rsid w:val="00704385"/>
    <w:rsid w:val="0070661C"/>
    <w:rsid w:val="00707C02"/>
    <w:rsid w:val="00732DE8"/>
    <w:rsid w:val="00736434"/>
    <w:rsid w:val="00756072"/>
    <w:rsid w:val="0076036A"/>
    <w:rsid w:val="00765DCA"/>
    <w:rsid w:val="00771EE8"/>
    <w:rsid w:val="007723AC"/>
    <w:rsid w:val="007760A8"/>
    <w:rsid w:val="00790D73"/>
    <w:rsid w:val="00790F3D"/>
    <w:rsid w:val="0079697F"/>
    <w:rsid w:val="007A016E"/>
    <w:rsid w:val="007A76BE"/>
    <w:rsid w:val="007B2239"/>
    <w:rsid w:val="007C6836"/>
    <w:rsid w:val="007D13ED"/>
    <w:rsid w:val="007D7D2E"/>
    <w:rsid w:val="00817912"/>
    <w:rsid w:val="008205D5"/>
    <w:rsid w:val="00833B8B"/>
    <w:rsid w:val="00837062"/>
    <w:rsid w:val="008404CA"/>
    <w:rsid w:val="0085143D"/>
    <w:rsid w:val="008516B2"/>
    <w:rsid w:val="00877F90"/>
    <w:rsid w:val="00881AEA"/>
    <w:rsid w:val="0088266A"/>
    <w:rsid w:val="00884F57"/>
    <w:rsid w:val="00890D6D"/>
    <w:rsid w:val="008C31A0"/>
    <w:rsid w:val="008D1CD6"/>
    <w:rsid w:val="008E297B"/>
    <w:rsid w:val="008E61BC"/>
    <w:rsid w:val="008E7195"/>
    <w:rsid w:val="008F2F6A"/>
    <w:rsid w:val="008F4A17"/>
    <w:rsid w:val="008F6630"/>
    <w:rsid w:val="00901ED8"/>
    <w:rsid w:val="00905887"/>
    <w:rsid w:val="00906C50"/>
    <w:rsid w:val="009119D4"/>
    <w:rsid w:val="00912A7F"/>
    <w:rsid w:val="00920ADA"/>
    <w:rsid w:val="00922107"/>
    <w:rsid w:val="00931A0B"/>
    <w:rsid w:val="00931A69"/>
    <w:rsid w:val="009322BB"/>
    <w:rsid w:val="009329C8"/>
    <w:rsid w:val="009346B1"/>
    <w:rsid w:val="009439EE"/>
    <w:rsid w:val="009443BF"/>
    <w:rsid w:val="00972216"/>
    <w:rsid w:val="0097285D"/>
    <w:rsid w:val="00973610"/>
    <w:rsid w:val="00994965"/>
    <w:rsid w:val="00995100"/>
    <w:rsid w:val="009A61BC"/>
    <w:rsid w:val="009B0D3F"/>
    <w:rsid w:val="009B2A94"/>
    <w:rsid w:val="009B50CE"/>
    <w:rsid w:val="009C1983"/>
    <w:rsid w:val="009C472F"/>
    <w:rsid w:val="009D39A7"/>
    <w:rsid w:val="00A1206B"/>
    <w:rsid w:val="00A13226"/>
    <w:rsid w:val="00A2119F"/>
    <w:rsid w:val="00A24D37"/>
    <w:rsid w:val="00A4554A"/>
    <w:rsid w:val="00A51E54"/>
    <w:rsid w:val="00A53E9A"/>
    <w:rsid w:val="00A551F7"/>
    <w:rsid w:val="00A566D0"/>
    <w:rsid w:val="00A62F3A"/>
    <w:rsid w:val="00A64F05"/>
    <w:rsid w:val="00A75775"/>
    <w:rsid w:val="00A825B4"/>
    <w:rsid w:val="00A90DE2"/>
    <w:rsid w:val="00A92983"/>
    <w:rsid w:val="00AA3108"/>
    <w:rsid w:val="00AA5B78"/>
    <w:rsid w:val="00AB366D"/>
    <w:rsid w:val="00AD0C8A"/>
    <w:rsid w:val="00AD3DA3"/>
    <w:rsid w:val="00AE43DE"/>
    <w:rsid w:val="00AF562B"/>
    <w:rsid w:val="00B009C0"/>
    <w:rsid w:val="00B02E00"/>
    <w:rsid w:val="00B06A1F"/>
    <w:rsid w:val="00B27626"/>
    <w:rsid w:val="00B37AAD"/>
    <w:rsid w:val="00B44180"/>
    <w:rsid w:val="00B621FA"/>
    <w:rsid w:val="00B62A9A"/>
    <w:rsid w:val="00B67A51"/>
    <w:rsid w:val="00B7130A"/>
    <w:rsid w:val="00B823F5"/>
    <w:rsid w:val="00B8490B"/>
    <w:rsid w:val="00B856A0"/>
    <w:rsid w:val="00B8789D"/>
    <w:rsid w:val="00BA398E"/>
    <w:rsid w:val="00BA5AC2"/>
    <w:rsid w:val="00BB5B2F"/>
    <w:rsid w:val="00BB6983"/>
    <w:rsid w:val="00C009A2"/>
    <w:rsid w:val="00C00E67"/>
    <w:rsid w:val="00C0474C"/>
    <w:rsid w:val="00C05C37"/>
    <w:rsid w:val="00C1031A"/>
    <w:rsid w:val="00C15BAD"/>
    <w:rsid w:val="00C202F2"/>
    <w:rsid w:val="00C252EE"/>
    <w:rsid w:val="00C25BE7"/>
    <w:rsid w:val="00C36810"/>
    <w:rsid w:val="00C43AB0"/>
    <w:rsid w:val="00C44944"/>
    <w:rsid w:val="00C5279C"/>
    <w:rsid w:val="00C568A1"/>
    <w:rsid w:val="00C609C4"/>
    <w:rsid w:val="00C71CC7"/>
    <w:rsid w:val="00C72314"/>
    <w:rsid w:val="00C848A3"/>
    <w:rsid w:val="00C97B2A"/>
    <w:rsid w:val="00C97EA7"/>
    <w:rsid w:val="00CA0B60"/>
    <w:rsid w:val="00CA5B3C"/>
    <w:rsid w:val="00CB14EE"/>
    <w:rsid w:val="00CB3667"/>
    <w:rsid w:val="00CB5165"/>
    <w:rsid w:val="00CC161A"/>
    <w:rsid w:val="00CD7CAF"/>
    <w:rsid w:val="00CF3449"/>
    <w:rsid w:val="00D03D45"/>
    <w:rsid w:val="00D253AD"/>
    <w:rsid w:val="00D27774"/>
    <w:rsid w:val="00D32526"/>
    <w:rsid w:val="00D3703B"/>
    <w:rsid w:val="00D405E7"/>
    <w:rsid w:val="00D41480"/>
    <w:rsid w:val="00D4198D"/>
    <w:rsid w:val="00D42664"/>
    <w:rsid w:val="00D515E7"/>
    <w:rsid w:val="00D57555"/>
    <w:rsid w:val="00D71205"/>
    <w:rsid w:val="00D7168C"/>
    <w:rsid w:val="00D7550A"/>
    <w:rsid w:val="00D8204A"/>
    <w:rsid w:val="00D915AB"/>
    <w:rsid w:val="00D94F88"/>
    <w:rsid w:val="00DB08A6"/>
    <w:rsid w:val="00DB6CA0"/>
    <w:rsid w:val="00DC5D43"/>
    <w:rsid w:val="00DD7E0C"/>
    <w:rsid w:val="00DE4EF4"/>
    <w:rsid w:val="00DE6ACC"/>
    <w:rsid w:val="00DF2946"/>
    <w:rsid w:val="00DF6770"/>
    <w:rsid w:val="00DF6A86"/>
    <w:rsid w:val="00E04271"/>
    <w:rsid w:val="00E1198E"/>
    <w:rsid w:val="00E21EF8"/>
    <w:rsid w:val="00E34712"/>
    <w:rsid w:val="00E439C2"/>
    <w:rsid w:val="00E46B1E"/>
    <w:rsid w:val="00E52886"/>
    <w:rsid w:val="00E55538"/>
    <w:rsid w:val="00E7422D"/>
    <w:rsid w:val="00E87C20"/>
    <w:rsid w:val="00E90D7B"/>
    <w:rsid w:val="00E947A3"/>
    <w:rsid w:val="00EA5CE8"/>
    <w:rsid w:val="00EA5D8A"/>
    <w:rsid w:val="00EA7FCC"/>
    <w:rsid w:val="00EB2122"/>
    <w:rsid w:val="00EB5521"/>
    <w:rsid w:val="00EC4E53"/>
    <w:rsid w:val="00EC7654"/>
    <w:rsid w:val="00EE2FB1"/>
    <w:rsid w:val="00EE3F12"/>
    <w:rsid w:val="00EE4DC9"/>
    <w:rsid w:val="00EE502F"/>
    <w:rsid w:val="00F109D1"/>
    <w:rsid w:val="00F216C6"/>
    <w:rsid w:val="00F25783"/>
    <w:rsid w:val="00F26291"/>
    <w:rsid w:val="00F30B3E"/>
    <w:rsid w:val="00F316E9"/>
    <w:rsid w:val="00F35E0F"/>
    <w:rsid w:val="00F572C9"/>
    <w:rsid w:val="00F71594"/>
    <w:rsid w:val="00F71C4B"/>
    <w:rsid w:val="00F73FD5"/>
    <w:rsid w:val="00F86C6F"/>
    <w:rsid w:val="00F955FD"/>
    <w:rsid w:val="00FA4EC8"/>
    <w:rsid w:val="00FB1754"/>
    <w:rsid w:val="00FC01B1"/>
    <w:rsid w:val="00FC4258"/>
    <w:rsid w:val="00FD07A2"/>
    <w:rsid w:val="00FE718D"/>
    <w:rsid w:val="00FF018E"/>
    <w:rsid w:val="00FF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3BA2C"/>
  <w15:chartTrackingRefBased/>
  <w15:docId w15:val="{04A4522A-B21D-40EF-B23E-45D691BC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7">
    <w:lsdException w:name="Normal" w:uiPriority="0" w:qFormat="1"/>
    <w:lsdException w:name="heading 1" w:locked="1" w:qFormat="1"/>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471A"/>
    <w:pPr>
      <w:spacing w:before="0" w:line="240" w:lineRule="auto"/>
      <w:jc w:val="both"/>
    </w:pPr>
    <w:rPr>
      <w:rFonts w:ascii="Gill Sans MT" w:eastAsia="Cabin" w:hAnsi="Gill Sans MT" w:cs="Cabin"/>
      <w:color w:val="000000"/>
      <w:sz w:val="22"/>
      <w:szCs w:val="22"/>
      <w:lang w:val="en-US" w:eastAsia="en-US"/>
    </w:rPr>
  </w:style>
  <w:style w:type="paragraph" w:styleId="Heading1">
    <w:name w:val="heading 1"/>
    <w:basedOn w:val="Normal"/>
    <w:next w:val="Normal"/>
    <w:link w:val="Heading1Char"/>
    <w:uiPriority w:val="9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pPr>
  </w:style>
  <w:style w:type="paragraph" w:styleId="BalloonText">
    <w:name w:val="Balloon Text"/>
    <w:basedOn w:val="Normal"/>
    <w:link w:val="BalloonTextChar"/>
    <w:uiPriority w:val="99"/>
    <w:semiHidden/>
    <w:unhideWhenUsed/>
    <w:rsid w:val="00AD0C8A"/>
    <w:pPr>
      <w:spacing w:after="0"/>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9"/>
    <w:rsid w:val="00560D76"/>
    <w:rPr>
      <w:rFonts w:asciiTheme="majorHAnsi" w:eastAsiaTheme="majorEastAsia" w:hAnsiTheme="majorHAnsi" w:cstheme="majorBidi"/>
      <w:b/>
      <w:bCs/>
      <w:color w:val="0391A6" w:themeColor="accent1" w:themeShade="BF"/>
      <w:sz w:val="28"/>
      <w:szCs w:val="28"/>
      <w:lang w:val="en-US"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val="en-US"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val="en-US"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val="en-US"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szCs w:val="30"/>
    </w:rPr>
  </w:style>
  <w:style w:type="character" w:customStyle="1" w:styleId="Head4Char">
    <w:name w:val="Head4 Char"/>
    <w:basedOn w:val="DefaultParagraphFont"/>
    <w:link w:val="Head4"/>
    <w:rsid w:val="00D4198D"/>
    <w:rPr>
      <w:rFonts w:ascii="Gill Sans MT" w:eastAsia="Cabin" w:hAnsi="Gill Sans MT" w:cs="Arial"/>
      <w:bCs/>
      <w:color w:val="000000"/>
      <w:sz w:val="22"/>
      <w:szCs w:val="30"/>
      <w:lang w:val="en-US"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after="0"/>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val="en-US"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val="en-US"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 w:val="22"/>
      <w:szCs w:val="22"/>
      <w:lang w:val="en-US"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 w:val="22"/>
      <w:szCs w:val="22"/>
      <w:lang w:val="en-US"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 w:val="22"/>
      <w:szCs w:val="22"/>
      <w:lang w:val="en-US"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 w:val="22"/>
      <w:szCs w:val="22"/>
      <w:lang w:val="en-US"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val="en-US"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link w:val="NoSpacingChar"/>
    <w:uiPriority w:val="99"/>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rsid w:val="0032471A"/>
    <w:rPr>
      <w:sz w:val="20"/>
      <w:szCs w:val="20"/>
    </w:rPr>
  </w:style>
  <w:style w:type="character" w:customStyle="1" w:styleId="CommentTextChar">
    <w:name w:val="Comment Text Char"/>
    <w:basedOn w:val="DefaultParagraphFont"/>
    <w:link w:val="CommentText"/>
    <w:uiPriority w:val="99"/>
    <w:rsid w:val="0032471A"/>
    <w:rPr>
      <w:rFonts w:ascii="Gill Sans MT" w:eastAsia="Cabin" w:hAnsi="Gill Sans MT" w:cs="Cabin"/>
      <w:color w:val="000000"/>
      <w:lang w:val="en-US" w:eastAsia="en-US"/>
    </w:rPr>
  </w:style>
  <w:style w:type="character" w:styleId="CommentReference">
    <w:name w:val="annotation reference"/>
    <w:basedOn w:val="DefaultParagraphFont"/>
    <w:uiPriority w:val="99"/>
    <w:rsid w:val="0032471A"/>
    <w:rPr>
      <w:rFonts w:cs="Times New Roman"/>
      <w:sz w:val="16"/>
      <w:szCs w:val="16"/>
    </w:rPr>
  </w:style>
  <w:style w:type="paragraph" w:styleId="ListParagraph">
    <w:name w:val="List Paragraph"/>
    <w:aliases w:val="Paragraph,Párrafo de lista"/>
    <w:basedOn w:val="Normal"/>
    <w:link w:val="ListParagraphChar"/>
    <w:uiPriority w:val="34"/>
    <w:qFormat/>
    <w:rsid w:val="0032471A"/>
    <w:pPr>
      <w:ind w:left="720"/>
      <w:contextualSpacing/>
    </w:pPr>
  </w:style>
  <w:style w:type="paragraph" w:customStyle="1" w:styleId="Default">
    <w:name w:val="Default"/>
    <w:rsid w:val="0032471A"/>
    <w:pPr>
      <w:autoSpaceDE w:val="0"/>
      <w:autoSpaceDN w:val="0"/>
      <w:adjustRightInd w:val="0"/>
      <w:spacing w:before="0" w:after="0" w:line="240" w:lineRule="auto"/>
    </w:pPr>
    <w:rPr>
      <w:rFonts w:eastAsia="Cabin" w:cs="Aria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055DA6"/>
    <w:rPr>
      <w:b/>
      <w:bCs/>
    </w:rPr>
  </w:style>
  <w:style w:type="character" w:customStyle="1" w:styleId="CommentSubjectChar">
    <w:name w:val="Comment Subject Char"/>
    <w:basedOn w:val="CommentTextChar"/>
    <w:link w:val="CommentSubject"/>
    <w:uiPriority w:val="99"/>
    <w:semiHidden/>
    <w:rsid w:val="00055DA6"/>
    <w:rPr>
      <w:rFonts w:ascii="Gill Sans MT" w:eastAsia="Cabin" w:hAnsi="Gill Sans MT" w:cs="Cabin"/>
      <w:b/>
      <w:bCs/>
      <w:color w:val="000000"/>
      <w:lang w:val="en-US" w:eastAsia="en-US"/>
    </w:rPr>
  </w:style>
  <w:style w:type="paragraph" w:styleId="ListBullet">
    <w:name w:val="List Bullet"/>
    <w:basedOn w:val="Normal"/>
    <w:uiPriority w:val="99"/>
    <w:unhideWhenUsed/>
    <w:qFormat/>
    <w:rsid w:val="003C6FC6"/>
    <w:pPr>
      <w:numPr>
        <w:numId w:val="13"/>
      </w:numPr>
      <w:spacing w:before="60" w:after="60"/>
      <w:ind w:left="360"/>
      <w:jc w:val="left"/>
    </w:pPr>
    <w:rPr>
      <w:rFonts w:asciiTheme="minorHAnsi" w:eastAsiaTheme="minorHAnsi" w:hAnsiTheme="minorHAnsi" w:cstheme="minorBidi"/>
      <w:sz w:val="20"/>
      <w:szCs w:val="20"/>
      <w:lang w:val="en-GB"/>
    </w:rPr>
  </w:style>
  <w:style w:type="paragraph" w:styleId="ListBullet2">
    <w:name w:val="List Bullet 2"/>
    <w:basedOn w:val="ListBullet"/>
    <w:uiPriority w:val="99"/>
    <w:unhideWhenUsed/>
    <w:qFormat/>
    <w:rsid w:val="003C6FC6"/>
    <w:pPr>
      <w:numPr>
        <w:ilvl w:val="1"/>
      </w:numPr>
      <w:ind w:left="720"/>
    </w:pPr>
  </w:style>
  <w:style w:type="character" w:customStyle="1" w:styleId="ListParagraphChar">
    <w:name w:val="List Paragraph Char"/>
    <w:aliases w:val="Paragraph Char,Párrafo de lista Char"/>
    <w:link w:val="ListParagraph"/>
    <w:uiPriority w:val="34"/>
    <w:locked/>
    <w:rsid w:val="003C6FC6"/>
    <w:rPr>
      <w:rFonts w:ascii="Gill Sans MT" w:eastAsia="Cabin" w:hAnsi="Gill Sans MT" w:cs="Cabin"/>
      <w:color w:val="000000"/>
      <w:sz w:val="22"/>
      <w:szCs w:val="22"/>
      <w:lang w:val="en-US" w:eastAsia="en-US"/>
    </w:rPr>
  </w:style>
  <w:style w:type="character" w:styleId="IntenseEmphasis">
    <w:name w:val="Intense Emphasis"/>
    <w:basedOn w:val="DefaultParagraphFont"/>
    <w:uiPriority w:val="21"/>
    <w:qFormat/>
    <w:rsid w:val="003C6FC6"/>
    <w:rPr>
      <w:b/>
      <w:i/>
      <w:iCs/>
      <w:color w:val="D52B1E"/>
      <w:lang w:val="en-GB"/>
    </w:rPr>
  </w:style>
  <w:style w:type="character" w:customStyle="1" w:styleId="UnresolvedMention1">
    <w:name w:val="Unresolved Mention1"/>
    <w:basedOn w:val="DefaultParagraphFont"/>
    <w:uiPriority w:val="99"/>
    <w:semiHidden/>
    <w:unhideWhenUsed/>
    <w:rsid w:val="006319B2"/>
    <w:rPr>
      <w:color w:val="605E5C"/>
      <w:shd w:val="clear" w:color="auto" w:fill="E1DFDD"/>
    </w:rPr>
  </w:style>
  <w:style w:type="character" w:styleId="FootnoteReference">
    <w:name w:val="footnote reference"/>
    <w:aliases w:val="ftref,Ref,de nota al pie,Footnotes refss,Footnote Reference1,16 Point,Superscript 6 Point,Times 10 Point,Exposant 3 Point,Footnote symbol,Footnote reference number,EN Footnote Reference,note TESI,сноска,Знак сноски-FN,Знак сноски 1,f"/>
    <w:uiPriority w:val="99"/>
    <w:qFormat/>
    <w:rsid w:val="008E61BC"/>
    <w:rPr>
      <w:vertAlign w:val="superscript"/>
    </w:rPr>
  </w:style>
  <w:style w:type="paragraph" w:customStyle="1" w:styleId="TableBullet">
    <w:name w:val="Table Bullet"/>
    <w:basedOn w:val="Normal"/>
    <w:link w:val="TableBulletChar"/>
    <w:qFormat/>
    <w:rsid w:val="008E61BC"/>
    <w:pPr>
      <w:numPr>
        <w:numId w:val="31"/>
      </w:numPr>
      <w:spacing w:after="0"/>
      <w:contextualSpacing/>
      <w:jc w:val="left"/>
    </w:pPr>
    <w:rPr>
      <w:rFonts w:asciiTheme="minorHAnsi" w:eastAsiaTheme="minorHAnsi" w:hAnsiTheme="minorHAnsi" w:cstheme="minorBidi"/>
      <w:color w:val="auto"/>
      <w:sz w:val="18"/>
      <w:lang w:val="en-GB"/>
    </w:rPr>
  </w:style>
  <w:style w:type="character" w:customStyle="1" w:styleId="TableBulletChar">
    <w:name w:val="Table Bullet Char"/>
    <w:basedOn w:val="DefaultParagraphFont"/>
    <w:link w:val="TableBullet"/>
    <w:rsid w:val="008E61BC"/>
    <w:rPr>
      <w:rFonts w:asciiTheme="minorHAnsi" w:eastAsiaTheme="minorHAnsi" w:hAnsiTheme="minorHAnsi" w:cstheme="minorBidi"/>
      <w:sz w:val="18"/>
      <w:szCs w:val="22"/>
      <w:lang w:eastAsia="en-US"/>
    </w:rPr>
  </w:style>
  <w:style w:type="character" w:customStyle="1" w:styleId="NoSpacingChar">
    <w:name w:val="No Spacing Char"/>
    <w:basedOn w:val="DefaultParagraphFont"/>
    <w:link w:val="NoSpacing"/>
    <w:uiPriority w:val="99"/>
    <w:rsid w:val="008E61BC"/>
    <w:rPr>
      <w:rFonts w:eastAsiaTheme="minorHAnsi" w:cstheme="minorBidi"/>
      <w:color w:val="000000" w:themeColor="text1"/>
      <w:szCs w:val="22"/>
      <w:lang w:val="en-US" w:eastAsia="en-US"/>
    </w:rPr>
  </w:style>
  <w:style w:type="paragraph" w:customStyle="1" w:styleId="TableBullet2">
    <w:name w:val="Table Bullet 2"/>
    <w:basedOn w:val="TableBullet"/>
    <w:link w:val="TableBullet2Char"/>
    <w:qFormat/>
    <w:rsid w:val="007A76BE"/>
    <w:pPr>
      <w:numPr>
        <w:numId w:val="39"/>
      </w:numPr>
    </w:pPr>
  </w:style>
  <w:style w:type="character" w:customStyle="1" w:styleId="TableBullet2Char">
    <w:name w:val="Table Bullet 2 Char"/>
    <w:basedOn w:val="TableBulletChar"/>
    <w:link w:val="TableBullet2"/>
    <w:rsid w:val="007A76BE"/>
    <w:rPr>
      <w:rFonts w:asciiTheme="minorHAnsi" w:eastAsiaTheme="minorHAnsi" w:hAnsiTheme="minorHAnsi" w:cstheme="minorBidi"/>
      <w:sz w:val="18"/>
      <w:szCs w:val="22"/>
      <w:lang w:eastAsia="en-US"/>
    </w:rPr>
  </w:style>
  <w:style w:type="table" w:styleId="GridTable1Light-Accent5">
    <w:name w:val="Grid Table 1 Light Accent 5"/>
    <w:basedOn w:val="TableNormal"/>
    <w:uiPriority w:val="46"/>
    <w:rsid w:val="00C97EA7"/>
    <w:pPr>
      <w:spacing w:after="0" w:line="240" w:lineRule="auto"/>
    </w:pPr>
    <w:tblPr>
      <w:tblStyleRowBandSize w:val="1"/>
      <w:tblStyleColBandSize w:val="1"/>
      <w:tblBorders>
        <w:top w:val="single" w:sz="4" w:space="0" w:color="F7899F" w:themeColor="accent5" w:themeTint="66"/>
        <w:left w:val="single" w:sz="4" w:space="0" w:color="F7899F" w:themeColor="accent5" w:themeTint="66"/>
        <w:bottom w:val="single" w:sz="4" w:space="0" w:color="F7899F" w:themeColor="accent5" w:themeTint="66"/>
        <w:right w:val="single" w:sz="4" w:space="0" w:color="F7899F" w:themeColor="accent5" w:themeTint="66"/>
        <w:insideH w:val="single" w:sz="4" w:space="0" w:color="F7899F" w:themeColor="accent5" w:themeTint="66"/>
        <w:insideV w:val="single" w:sz="4" w:space="0" w:color="F7899F" w:themeColor="accent5" w:themeTint="66"/>
      </w:tblBorders>
    </w:tblPr>
    <w:tblStylePr w:type="firstRow">
      <w:rPr>
        <w:b/>
        <w:bCs/>
      </w:rPr>
      <w:tblPr/>
      <w:tcPr>
        <w:tcBorders>
          <w:bottom w:val="single" w:sz="12" w:space="0" w:color="F34F6F" w:themeColor="accent5" w:themeTint="99"/>
        </w:tcBorders>
      </w:tcPr>
    </w:tblStylePr>
    <w:tblStylePr w:type="lastRow">
      <w:rPr>
        <w:b/>
        <w:bCs/>
      </w:rPr>
      <w:tblPr/>
      <w:tcPr>
        <w:tcBorders>
          <w:top w:val="double" w:sz="2" w:space="0" w:color="F34F6F"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41480"/>
    <w:pPr>
      <w:spacing w:after="0" w:line="276" w:lineRule="auto"/>
      <w:jc w:val="left"/>
    </w:pPr>
    <w:rPr>
      <w:rFonts w:ascii="Times New Roman" w:eastAsiaTheme="minorHAnsi" w:hAnsi="Times New Roman" w:cstheme="minorBidi"/>
      <w:color w:val="auto"/>
      <w:sz w:val="24"/>
      <w:szCs w:val="24"/>
      <w:lang w:val="hr-HR" w:eastAsia="hr-HR"/>
    </w:rPr>
  </w:style>
  <w:style w:type="table" w:styleId="GridTable1Light">
    <w:name w:val="Grid Table 1 Light"/>
    <w:basedOn w:val="TableNormal"/>
    <w:uiPriority w:val="46"/>
    <w:rsid w:val="002A3B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62F3A"/>
    <w:rPr>
      <w:color w:val="605E5C"/>
      <w:shd w:val="clear" w:color="auto" w:fill="E1DFDD"/>
    </w:rPr>
  </w:style>
  <w:style w:type="paragraph" w:styleId="FootnoteText">
    <w:name w:val="footnote text"/>
    <w:basedOn w:val="Normal"/>
    <w:link w:val="FootnoteTextChar"/>
    <w:uiPriority w:val="99"/>
    <w:semiHidden/>
    <w:unhideWhenUsed/>
    <w:rsid w:val="00FB1754"/>
    <w:pPr>
      <w:spacing w:after="0"/>
    </w:pPr>
    <w:rPr>
      <w:sz w:val="20"/>
      <w:szCs w:val="20"/>
    </w:rPr>
  </w:style>
  <w:style w:type="character" w:customStyle="1" w:styleId="FootnoteTextChar">
    <w:name w:val="Footnote Text Char"/>
    <w:basedOn w:val="DefaultParagraphFont"/>
    <w:link w:val="FootnoteText"/>
    <w:uiPriority w:val="99"/>
    <w:semiHidden/>
    <w:rsid w:val="00FB1754"/>
    <w:rPr>
      <w:rFonts w:ascii="Gill Sans MT" w:eastAsia="Cabin" w:hAnsi="Gill Sans MT" w:cs="Cabi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alladium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na.bojadzieva@th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A513-5459-4174-9DA4-FA58B239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Karic, Dina</dc:creator>
  <cp:keywords/>
  <dc:description/>
  <cp:lastModifiedBy>Bojadzieva, Irena</cp:lastModifiedBy>
  <cp:revision>2</cp:revision>
  <cp:lastPrinted>2019-10-09T08:20:00Z</cp:lastPrinted>
  <dcterms:created xsi:type="dcterms:W3CDTF">2019-10-09T14:52:00Z</dcterms:created>
  <dcterms:modified xsi:type="dcterms:W3CDTF">2019-10-09T14:52:00Z</dcterms:modified>
</cp:coreProperties>
</file>